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610" w:type="dxa"/>
        <w:tblLayout w:type="fixed"/>
        <w:tblLook w:val="04A0" w:firstRow="1" w:lastRow="0" w:firstColumn="1" w:lastColumn="0" w:noHBand="0" w:noVBand="1"/>
      </w:tblPr>
      <w:tblGrid>
        <w:gridCol w:w="7995"/>
        <w:gridCol w:w="615"/>
      </w:tblGrid>
      <w:tr w:rsidR="00000000">
        <w:trPr>
          <w:trHeight w:val="270"/>
        </w:trPr>
        <w:tc>
          <w:tcPr>
            <w:tcW w:w="7995" w:type="dxa"/>
            <w:noWrap/>
            <w:vAlign w:val="bottom"/>
            <w:hideMark/>
          </w:tcPr>
          <w:p w:rsidR="00000000" w:rsidRDefault="00031F6C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bookmarkStart w:id="0" w:name="_GoBack"/>
            <w:bookmarkEnd w:id="0"/>
            <w:r>
              <w:rPr>
                <w:rFonts w:eastAsia="Times New Roman"/>
                <w:b/>
                <w:bCs/>
                <w:sz w:val="27"/>
                <w:szCs w:val="27"/>
              </w:rPr>
              <w:t>ПОЯСНИТЕЛЬНАЯ ЗАПИСКА</w:t>
            </w:r>
          </w:p>
        </w:tc>
        <w:tc>
          <w:tcPr>
            <w:tcW w:w="615" w:type="dxa"/>
            <w:vAlign w:val="center"/>
            <w:hideMark/>
          </w:tcPr>
          <w:p w:rsidR="00000000" w:rsidRDefault="00031F6C">
            <w:pPr>
              <w:rPr>
                <w:rFonts w:eastAsia="Times New Roman"/>
                <w:b/>
                <w:bCs/>
                <w:sz w:val="27"/>
                <w:szCs w:val="27"/>
              </w:rPr>
            </w:pPr>
          </w:p>
        </w:tc>
      </w:tr>
    </w:tbl>
    <w:p w:rsidR="00000000" w:rsidRDefault="00031F6C">
      <w:pPr>
        <w:pStyle w:val="style59"/>
        <w:jc w:val="center"/>
        <w:rPr>
          <w:b/>
          <w:color w:val="000000"/>
          <w:sz w:val="18"/>
          <w:szCs w:val="18"/>
        </w:rPr>
      </w:pPr>
      <w:r>
        <w:rPr>
          <w:b/>
          <w:bCs/>
          <w:color w:val="000000"/>
          <w:sz w:val="28"/>
          <w:szCs w:val="28"/>
        </w:rPr>
        <w:t>к отчету об исполнении бюджета Стародубского муниципального округа Брянской области за 1 квартал 2025 года</w:t>
      </w:r>
    </w:p>
    <w:p w:rsidR="00000000" w:rsidRDefault="00031F6C">
      <w:pPr>
        <w:ind w:firstLine="700"/>
        <w:jc w:val="center"/>
        <w:rPr>
          <w:color w:val="000000"/>
          <w:sz w:val="28"/>
          <w:szCs w:val="28"/>
        </w:rPr>
      </w:pPr>
    </w:p>
    <w:p w:rsidR="00000000" w:rsidRDefault="00031F6C">
      <w:pPr>
        <w:ind w:firstLine="700"/>
        <w:jc w:val="both"/>
        <w:rPr>
          <w:b/>
          <w:bCs/>
          <w:color w:val="000000"/>
          <w:sz w:val="28"/>
          <w:szCs w:val="28"/>
        </w:rPr>
      </w:pPr>
    </w:p>
    <w:p w:rsidR="00000000" w:rsidRDefault="00031F6C">
      <w:pPr>
        <w:autoSpaceDE w:val="0"/>
        <w:autoSpaceDN w:val="0"/>
        <w:adjustRightInd w:val="0"/>
        <w:ind w:firstLine="700"/>
        <w:jc w:val="both"/>
        <w:rPr>
          <w:rFonts w:eastAsia="Times New Roman"/>
        </w:rPr>
      </w:pPr>
      <w:r>
        <w:rPr>
          <w:rFonts w:eastAsia="Times New Roman"/>
          <w:color w:val="000000"/>
          <w:sz w:val="28"/>
        </w:rPr>
        <w:t xml:space="preserve">Проводимая бюджетная политика в Стародубском муниципальном округе направлена на рост налогового </w:t>
      </w:r>
      <w:r>
        <w:rPr>
          <w:rFonts w:eastAsia="Times New Roman"/>
          <w:color w:val="000000"/>
          <w:sz w:val="28"/>
        </w:rPr>
        <w:t>потенциала и доходов бюджета, обеспечение сбалансированности бюджета, минимизацию дефицита бюджета, исполнение принятых социальных обязательств в полном объеме. Бюджет Стародубского муниципального округа за 1 квартал 2025 года исполнен по доходам в сумме 2</w:t>
      </w:r>
      <w:r>
        <w:rPr>
          <w:rFonts w:eastAsia="Times New Roman"/>
          <w:color w:val="000000"/>
          <w:sz w:val="28"/>
        </w:rPr>
        <w:t>87 098 191,24 рублей, по расходам в сумме 281 201 352,94 рублей, с превышением доходов над расходами в сумме 5 896 838,30 рублей.</w:t>
      </w:r>
    </w:p>
    <w:p w:rsidR="00000000" w:rsidRDefault="00031F6C">
      <w:pPr>
        <w:ind w:firstLine="700"/>
        <w:jc w:val="both"/>
        <w:rPr>
          <w:b/>
          <w:bCs/>
          <w:color w:val="000000"/>
          <w:sz w:val="28"/>
          <w:szCs w:val="28"/>
        </w:rPr>
      </w:pPr>
    </w:p>
    <w:p w:rsidR="00000000" w:rsidRDefault="00031F6C">
      <w:pPr>
        <w:ind w:firstLine="700"/>
        <w:jc w:val="both"/>
        <w:rPr>
          <w:color w:val="000000"/>
          <w:sz w:val="18"/>
          <w:szCs w:val="18"/>
        </w:rPr>
      </w:pPr>
    </w:p>
    <w:p w:rsidR="00000000" w:rsidRDefault="00031F6C">
      <w:pPr>
        <w:ind w:firstLine="700"/>
        <w:jc w:val="center"/>
        <w:rPr>
          <w:color w:val="000000"/>
          <w:sz w:val="18"/>
          <w:szCs w:val="1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ДОХОДЫ БЮДЖЕТА</w:t>
      </w:r>
    </w:p>
    <w:p w:rsidR="00000000" w:rsidRDefault="00031F6C">
      <w:pPr>
        <w:ind w:firstLine="700"/>
        <w:jc w:val="both"/>
        <w:rPr>
          <w:color w:val="000000"/>
          <w:sz w:val="18"/>
          <w:szCs w:val="18"/>
        </w:rPr>
      </w:pPr>
      <w:r>
        <w:rPr>
          <w:b/>
          <w:bCs/>
          <w:color w:val="000000"/>
          <w:sz w:val="28"/>
          <w:szCs w:val="28"/>
          <w:lang w:val="en-US"/>
        </w:rPr>
        <w:t> </w:t>
      </w:r>
    </w:p>
    <w:p w:rsidR="00000000" w:rsidRDefault="00031F6C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Доходная часть бюджета Стародубского муниципального округа Брянской области  формируется за счет поступлени</w:t>
      </w:r>
      <w:r>
        <w:rPr>
          <w:color w:val="000000"/>
          <w:sz w:val="28"/>
          <w:szCs w:val="28"/>
        </w:rPr>
        <w:t>й налоговых и неналоговых доходов и безвозмездных поступлений. По итогам 1 квартала 2025 года в бюджет при плане 1 568 366 143,05 рублей, поступило доходов в сумме 287 098 191,24 рублей, что составляет 18,31% плановых назначений.</w:t>
      </w:r>
    </w:p>
    <w:p w:rsidR="00000000" w:rsidRDefault="00031F6C">
      <w:pPr>
        <w:ind w:firstLine="567"/>
        <w:jc w:val="both"/>
        <w:rPr>
          <w:color w:val="000000"/>
          <w:sz w:val="28"/>
          <w:szCs w:val="28"/>
        </w:rPr>
      </w:pP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        </w:t>
      </w:r>
      <w:r>
        <w:rPr>
          <w:color w:val="000000"/>
          <w:sz w:val="28"/>
          <w:szCs w:val="28"/>
        </w:rPr>
        <w:t xml:space="preserve">     Исполнение д</w:t>
      </w:r>
      <w:r>
        <w:rPr>
          <w:color w:val="000000"/>
          <w:sz w:val="28"/>
          <w:szCs w:val="28"/>
        </w:rPr>
        <w:t>оходной части бюджета по налоговым и неналоговым  доходам за 1 квартал 2025 года составило 23,91% при уточненном плане на 01.04.2025 года в размере 506 791 057,00 рублей и фактическом поступлении собственных доходов в сумме 121 198 281,42 рублей. В разрезе</w:t>
      </w:r>
      <w:r>
        <w:rPr>
          <w:color w:val="000000"/>
          <w:sz w:val="28"/>
          <w:szCs w:val="28"/>
        </w:rPr>
        <w:t xml:space="preserve"> видов доходных источников исполнение сложилось следующим образом: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   налог на доходы физических лиц – 51 781 521,82  рублей (16,18%)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   налоги на товары, реализуемые на территории РФ (акцизы на дизельное топливо, бензин) – 8 232 595,44 рублей (24,03</w:t>
      </w:r>
      <w:r>
        <w:rPr>
          <w:color w:val="000000"/>
          <w:sz w:val="28"/>
          <w:szCs w:val="28"/>
        </w:rPr>
        <w:t xml:space="preserve"> %)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   налоги на совокупный доход – 47 186 031,86 рублей – 75,19% (ЕСХ- 43 680,27 тыс. руб.-75,68%, патент- 3 455,96 тыс. руб.- 68,64%)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   налоги на имущество – 3 696 470,81 рублей (12,27%) (земельный налог с </w:t>
      </w:r>
      <w:r>
        <w:rPr>
          <w:color w:val="000000"/>
          <w:sz w:val="28"/>
          <w:szCs w:val="28"/>
        </w:rPr>
        <w:t xml:space="preserve">организаций – 3 283,06 тыс. руб. 43,68%, земельный налог с физических лиц – 395,55 тыс. руб. –4,63  %, налог на имущество физических лиц- 17,9 тыс. руб.-0,13%).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   государственная пошлина – 2 132 385,23 рублей (63,69%)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   доходы от использования им</w:t>
      </w:r>
      <w:r>
        <w:rPr>
          <w:color w:val="000000"/>
          <w:sz w:val="28"/>
          <w:szCs w:val="28"/>
        </w:rPr>
        <w:t>ущества, находящегося в государственной и муниципальной собственности – 3 081 648,32 рублей (22,13%) (аренда земли-  2 952,95  тыс. руб.-25,00%, аренда имущества – 127,71 тыс. руб. 16,22 %, плата по соглашениям об установлении сервитута – 14,72 руб. 14,72%</w:t>
      </w:r>
      <w:r>
        <w:rPr>
          <w:color w:val="000000"/>
          <w:sz w:val="28"/>
          <w:szCs w:val="28"/>
        </w:rPr>
        <w:t>, плата за размещение нестационарного торгового объекта – 975,00 руб. 6,5%)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7)    платежи при пользовании природными ресурсами - 66 599,68 рублей (33,00%)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    доходы от оказания платных услуг и компенсации затрат государства- 546 444,45 рублей (54,64%)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)    доходы от продажи материальных и нематериальных активов - 4 294 987,00 рублей   (10,99%), в. </w:t>
      </w:r>
      <w:proofErr w:type="spellStart"/>
      <w:r>
        <w:rPr>
          <w:color w:val="000000"/>
          <w:sz w:val="28"/>
          <w:szCs w:val="28"/>
        </w:rPr>
        <w:t>т.ч</w:t>
      </w:r>
      <w:proofErr w:type="spellEnd"/>
      <w:r>
        <w:rPr>
          <w:color w:val="000000"/>
          <w:sz w:val="28"/>
          <w:szCs w:val="28"/>
        </w:rPr>
        <w:t>. продажа земельных участков -  4 294 987,00 руб.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10)      штрафы, санкции - 179 596,81  рублей (17,13 %)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КБК  000 1 01 02000 01 0000 110 Налог на дохо</w:t>
      </w:r>
      <w:r>
        <w:rPr>
          <w:color w:val="000000"/>
          <w:sz w:val="28"/>
          <w:szCs w:val="28"/>
        </w:rPr>
        <w:t>ды с физических лиц.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бюджете утверждено поступление доходов (НДФЛ) в сумме 320 015 280,00 рублей. Фактически поступили доходы в сумме 51 781 521,82 рублей.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Процент исполнения плана 16,18%.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КБК  000 1 03 0000000 0000 000  Налоги на товары (работы, услуги</w:t>
      </w:r>
      <w:r>
        <w:rPr>
          <w:color w:val="000000"/>
          <w:sz w:val="28"/>
          <w:szCs w:val="28"/>
        </w:rPr>
        <w:t>), реализуемые на территории Российской Федерации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бюджете утверждено поступление доходов от уплаты акцизов на дизельное топливо, моторные масла, автомобильный бензин в сумме 34 264 800,00 рублей. Фактически поступили доходы в сумме 8 232 595,44 рублей.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Процент исполнения плана 24,03%.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КБК 000 1 05 0000000 0000 000 Налоги на совокупный доход.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бюджете утверждено поступление доходов в сумме 62 755 000,00  рублей. Фактически поступили доходы в сумме 47 186 031,86 рублей. Процент исполнения  плана 75,19%,</w:t>
      </w:r>
      <w:r>
        <w:rPr>
          <w:color w:val="000000"/>
          <w:sz w:val="28"/>
          <w:szCs w:val="28"/>
        </w:rPr>
        <w:t xml:space="preserve"> в том числе: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 по КБК 000 10503010010000000 Единый сельскохозяйственный налог.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бюджете утверждено поступление доходов  в сумме 57 720 000,00 рублей. Фактически поступили доходы в сумме 43 680 269,00 рублей. Процент исполнения  плана 75,68 %.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2)по К</w:t>
      </w:r>
      <w:r>
        <w:rPr>
          <w:color w:val="000000"/>
          <w:sz w:val="28"/>
          <w:szCs w:val="28"/>
        </w:rPr>
        <w:t>БК 000 105 0400000 0000 000 Налог, взимаемый в связи с применением патентной системы налогообложения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бюджете утверждено поступление доходов  в сумме 5 035 000,00 рублей. Фактически поступили доходы в сумме 3 455 959,44 рублей. Процент исполнения  плана 6</w:t>
      </w:r>
      <w:r>
        <w:rPr>
          <w:color w:val="000000"/>
          <w:sz w:val="28"/>
          <w:szCs w:val="28"/>
        </w:rPr>
        <w:t xml:space="preserve">8,64 %.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КБК  000 1 06 0000000 0000 000 Налоги на имущество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бюджете утверждено поступление доходов  в сумме 30 132 000,00 рублей. Фактически поступили доходы в сумме 3 696 470,81 рублей. Процент исполнения  плана 12,27 %. , в том числе: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 по КБК 000 </w:t>
      </w:r>
      <w:r>
        <w:rPr>
          <w:color w:val="000000"/>
          <w:sz w:val="28"/>
          <w:szCs w:val="28"/>
        </w:rPr>
        <w:t xml:space="preserve">1 06 0100000 0000 000 Налог на имущество физических лиц.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бюджете утверждено поступление доходов  в сумме 14 082 000,00 рублей. Фактически поступили доходы в сумме 17 867,31 рублей. Процент исполнения  плана 0,13 %. 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 </w:t>
      </w:r>
      <w:r>
        <w:rPr>
          <w:color w:val="000000"/>
          <w:sz w:val="28"/>
          <w:szCs w:val="28"/>
        </w:rPr>
        <w:t>по КБК 000 106 0603000 0000 000 Земельный налог с организаций.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бюджете утверждено поступление доходов  в сумме 7 516 000,00 рублей. Фактически поступили доходы в сумме 3 283 055,28 рублей. Процент исполнения  плана 43,68%.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 по КБК 000 106 0604000 000</w:t>
      </w:r>
      <w:r>
        <w:rPr>
          <w:color w:val="000000"/>
          <w:sz w:val="28"/>
          <w:szCs w:val="28"/>
        </w:rPr>
        <w:t>0 000 Земельный налог  с физических лиц.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бюджете утверждено поступление доходов  в сумме 8 534 000,00 рублей. Фактически поступили доходы в сумме 395 548,22 рублей. Процент исполнения  плана 4 63%.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КБК  000 1 08 03010 01 0000 000 Государственная пошли</w:t>
      </w:r>
      <w:r>
        <w:rPr>
          <w:color w:val="000000"/>
          <w:sz w:val="28"/>
          <w:szCs w:val="28"/>
        </w:rPr>
        <w:t>на по делам, рассматриваемым в судах общей юрисдикции, мировыми судьями.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бюджете утверждено поступление доходов  в сумме 3 348 000,00 рублей. Фактически поступили доходы в сумме  2 132 385,23 рублей. Процент исполнения  плана 63,69%.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КБК  000 1 11 0</w:t>
      </w:r>
      <w:r>
        <w:rPr>
          <w:color w:val="000000"/>
          <w:sz w:val="28"/>
          <w:szCs w:val="28"/>
        </w:rPr>
        <w:t>0000 00 0000 000 Доходы от использования  имущества находящегося в государственной и муниципальной собственности.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бюджете утверждено поступление доходов  в сумме 13 925 768,00 рублей. Фактически поступили доходы в сумме  3 081 648,32   рублей.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Процент и</w:t>
      </w:r>
      <w:r>
        <w:rPr>
          <w:color w:val="000000"/>
          <w:sz w:val="28"/>
          <w:szCs w:val="28"/>
        </w:rPr>
        <w:t>сполнения  плана 22,13%.  В том числе: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 по КБК 000 1 11 05012 14 0000 120 «Доходы, получаемые в виде арендной платы за земельные участки, государственная собственность на которые не разграничена, и которые расположены в границах муниципальных округов»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бюджете утверждено поступление доходов  в сумме 2 250 000,00 рублей. Фактически поступило доходов в сумме 737 084,49  рублей. Процент исполнения  плана 17,34%.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по КБК  000 1 11 05024 14 0000 120 «Доходы, получаемые в виде арендной платы, а также средс</w:t>
      </w:r>
      <w:r>
        <w:rPr>
          <w:color w:val="000000"/>
          <w:sz w:val="28"/>
          <w:szCs w:val="28"/>
        </w:rPr>
        <w:t>тва от продажи права на заключение договоров аренды за земли, находящиеся в собственности муниципальных округов (за исключением земельных участков бюджетных и автономных учреждений)»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бюджете утверждено поступление доходов  в сумме 8 863 468,00 рублей. Фа</w:t>
      </w:r>
      <w:r>
        <w:rPr>
          <w:color w:val="000000"/>
          <w:sz w:val="28"/>
          <w:szCs w:val="28"/>
        </w:rPr>
        <w:t xml:space="preserve">ктически поступили доходы в сумме  2 215 867,21 рублей. Процент исполнения  плана 25,00%.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по КБК  000 1 11 05034 14 0000 000 «Доходы от сдачи в аренду имущества, находящегося в оперативном управлении органов управления муниципальных округов и созданных</w:t>
      </w:r>
      <w:r>
        <w:rPr>
          <w:color w:val="000000"/>
          <w:sz w:val="28"/>
          <w:szCs w:val="28"/>
        </w:rPr>
        <w:t xml:space="preserve"> ими учреждений (за исключением имущества муниципальных бюджетных и автономных учреждений)»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бюджете утверждено поступление доходов от сдачи в аренду имущества в сумме 787 200,00 рублей. Фактически поступили  доходы в сумме 127 706,30 рублей. Процент исп</w:t>
      </w:r>
      <w:r>
        <w:rPr>
          <w:color w:val="000000"/>
          <w:sz w:val="28"/>
          <w:szCs w:val="28"/>
        </w:rPr>
        <w:t xml:space="preserve">олнения  плана 16,22 %. 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 по КБК  000 1 11 05312 14 0000 000 «Плата по соглашениям об установлении сервитута, заключенным органами местного самоуправления муниципальных округов...»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бюджете утверждено поступление доходов  в сумме 100,00 рублей. Фактиче</w:t>
      </w:r>
      <w:r>
        <w:rPr>
          <w:color w:val="000000"/>
          <w:sz w:val="28"/>
          <w:szCs w:val="28"/>
        </w:rPr>
        <w:t xml:space="preserve">ски поступили  доходы в сумме  14,72 рублей.  Процент исполнения  плана 14,72 %.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по КБК 000 1 11 09080 14 0000 120 «Плата, поступившая в рамках договора за предоставление права на размещение и эксплуатацию нестационарного торгового объекта …»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бюдж</w:t>
      </w:r>
      <w:r>
        <w:rPr>
          <w:color w:val="000000"/>
          <w:sz w:val="28"/>
          <w:szCs w:val="28"/>
        </w:rPr>
        <w:t xml:space="preserve">ете утверждено поступление доходов  в сумме 10 000,00 рублей. Фактически поступили  доходы в сумме  975,6 рублей.  Процент исполнения  плана 6,5 %.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КБК  000 1 12 0000000 0000 000 Платежи при пользовании природными ресурсами.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бюджете утверждено поступле</w:t>
      </w:r>
      <w:r>
        <w:rPr>
          <w:color w:val="000000"/>
          <w:sz w:val="28"/>
          <w:szCs w:val="28"/>
        </w:rPr>
        <w:t xml:space="preserve">ние доходов в сумме 201 804,00 рублей. Фактически поступили доходы в сумме  66 599,68 рублей. Процент исполнения  плана 33,00% . 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КБК  000 1 13 00000 00 0000 000 Доходы от оказания платных услуг (работ) и компенсации затрат государства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бюджете утверждено поступление доходов  в сумме 1 000 000,00 рублей. Фактически поступили доходы в сумме 546 444,45  рублей. Процент исполнения  плана 54,64%.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КБК  000 1 14 00000 00 0000 000 Доходы от продажи материальных и нематериальных активов.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</w:t>
      </w:r>
      <w:r>
        <w:rPr>
          <w:color w:val="000000"/>
          <w:sz w:val="28"/>
          <w:szCs w:val="28"/>
        </w:rPr>
        <w:t xml:space="preserve">юджете утверждено поступление доходов  в сумме 39 079 737,00 рублей. Фактически поступили доходы в сумме 4 294 987,00  рублей. Процент исполнения  плана 10,99%. в том числе: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по КБК 905 1 14 02043 14 0000 410 «Доходы от реализации иного имущества, наход</w:t>
      </w:r>
      <w:r>
        <w:rPr>
          <w:color w:val="000000"/>
          <w:sz w:val="28"/>
          <w:szCs w:val="28"/>
        </w:rPr>
        <w:t>ящегося в собственности муниципальных округов…»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бюджете утверждено поступление доходов  в сумме 11 347 900,00 рублей. Фактически поступили доходы в сумме 0,00  рублей. Процент исполнения  плана 0%.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по КБК 905 1 14 06012 14 0000 430 «Доходы от прод</w:t>
      </w:r>
      <w:r>
        <w:rPr>
          <w:color w:val="000000"/>
          <w:sz w:val="28"/>
          <w:szCs w:val="28"/>
        </w:rPr>
        <w:t xml:space="preserve">ажи земельных участков, государственная собственность на которые не разграничена и расположены в границах муниципальных округов»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бюджете утверждено поступление доходов  в сумме 27 631 837,00 рублей. Фактически поступили доходы в сумме 4 162 675,65  рубл</w:t>
      </w:r>
      <w:r>
        <w:rPr>
          <w:color w:val="000000"/>
          <w:sz w:val="28"/>
          <w:szCs w:val="28"/>
        </w:rPr>
        <w:t xml:space="preserve">ей. Процент исполнения  плана 15,06%.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по КБК 905 1 14 06312 14 0000 430 «Плата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</w:t>
      </w:r>
      <w:r>
        <w:rPr>
          <w:color w:val="000000"/>
          <w:sz w:val="28"/>
          <w:szCs w:val="28"/>
        </w:rPr>
        <w:t xml:space="preserve">осударственная собственность на которые не разграничена и которые расположены в границах муниципальных округов»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В бюджете утверждено поступление доходов  в сумме 100 000 рублей. Фактически поступили доходы в сумме 132 311,35  рублей. Процент исполнения  </w:t>
      </w:r>
      <w:r>
        <w:rPr>
          <w:color w:val="000000"/>
          <w:sz w:val="28"/>
          <w:szCs w:val="28"/>
        </w:rPr>
        <w:t xml:space="preserve">плана 132,31%.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КБК 000 1 16 00000 00 0000 000 Штрафы, санкции, возмещение ущерба.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бюджете утверждено поступление штрафов  в сумме  1 048 668,00 рублей. Фактически поступили штрафы в сумме  179 596,81  рублей. Процент исполнения  плана 17,13% .</w:t>
      </w:r>
    </w:p>
    <w:p w:rsidR="00000000" w:rsidRDefault="00031F6C">
      <w:pPr>
        <w:ind w:right="57" w:firstLine="700"/>
        <w:jc w:val="both"/>
        <w:rPr>
          <w:color w:val="000000"/>
          <w:sz w:val="28"/>
          <w:szCs w:val="28"/>
        </w:rPr>
      </w:pP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  <w:lang w:val="en-US"/>
        </w:rPr>
        <w:t>        </w:t>
      </w:r>
      <w:r>
        <w:rPr>
          <w:color w:val="000000"/>
          <w:sz w:val="28"/>
          <w:szCs w:val="28"/>
        </w:rPr>
        <w:t xml:space="preserve">Объем безвозмездных поступлений в бюджет Стародубского муниципального округа за 1 квартал 2025 </w:t>
      </w:r>
      <w:proofErr w:type="gramStart"/>
      <w:r>
        <w:rPr>
          <w:color w:val="000000"/>
          <w:sz w:val="28"/>
          <w:szCs w:val="28"/>
        </w:rPr>
        <w:t>года  составил</w:t>
      </w:r>
      <w:proofErr w:type="gramEnd"/>
      <w:r>
        <w:rPr>
          <w:color w:val="000000"/>
          <w:sz w:val="28"/>
          <w:szCs w:val="28"/>
        </w:rPr>
        <w:t xml:space="preserve"> 165 899 909,82 рублей, в том числе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объем безвозмездных поступлений от других бюджетов бюджетной системы Российской Федерации составил 166</w:t>
      </w:r>
      <w:r>
        <w:rPr>
          <w:color w:val="000000"/>
          <w:sz w:val="28"/>
          <w:szCs w:val="28"/>
        </w:rPr>
        <w:t xml:space="preserve"> 855 468,51 рублей:  дотаций в сумме 15 183 901,00 рублей,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субсидий в сумме 17 611 046,07 рублей, субвенций в сумме 107 901 989,47 рублей, иных межбюджетных трансфертов в сумме 26 158 531,97  рублей. </w:t>
      </w:r>
    </w:p>
    <w:p w:rsidR="00000000" w:rsidRDefault="00031F6C">
      <w:pPr>
        <w:ind w:right="57" w:firstLine="700"/>
        <w:jc w:val="both"/>
        <w:rPr>
          <w:color w:val="000000"/>
          <w:sz w:val="28"/>
          <w:szCs w:val="28"/>
        </w:rPr>
      </w:pP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</w:p>
    <w:p w:rsidR="00000000" w:rsidRDefault="00031F6C">
      <w:pPr>
        <w:ind w:right="57"/>
        <w:jc w:val="center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РАСХОДЫ БЮДЖЕТА</w:t>
      </w:r>
    </w:p>
    <w:p w:rsidR="00000000" w:rsidRDefault="00031F6C">
      <w:pPr>
        <w:ind w:right="57"/>
        <w:jc w:val="both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  <w:lang w:val="en-US"/>
        </w:rPr>
        <w:t>           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           </w:t>
      </w:r>
      <w:r>
        <w:rPr>
          <w:color w:val="000000"/>
          <w:sz w:val="28"/>
          <w:szCs w:val="28"/>
        </w:rPr>
        <w:t>Полученные до</w:t>
      </w:r>
      <w:r>
        <w:rPr>
          <w:color w:val="000000"/>
          <w:sz w:val="28"/>
          <w:szCs w:val="28"/>
        </w:rPr>
        <w:t xml:space="preserve">ходы позволили осуществить в 1 квартале 2025 года кассовые выплаты из бюджета на сумму 281 201 352,94 рублей, что составляет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17,5 % к плановым назначениям. Приоритет отдавался выполнению обязательств по выплате заработной платы с начислениями, оплате комм</w:t>
      </w:r>
      <w:r>
        <w:rPr>
          <w:color w:val="000000"/>
          <w:sz w:val="28"/>
          <w:szCs w:val="28"/>
        </w:rPr>
        <w:t>унальных услуг, уплате налогов и других социально-значимых расходов.</w:t>
      </w:r>
    </w:p>
    <w:p w:rsidR="00000000" w:rsidRDefault="00031F6C">
      <w:pPr>
        <w:ind w:right="5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</w:p>
    <w:p w:rsidR="00000000" w:rsidRDefault="00031F6C">
      <w:pPr>
        <w:ind w:right="5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В 2025 году на территории Стародубского муниципального округа Брянской области осуществляется реализация четырех  национальных проектов.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На реализацию</w:t>
      </w:r>
      <w:r>
        <w:rPr>
          <w:color w:val="000000"/>
          <w:sz w:val="28"/>
          <w:szCs w:val="28"/>
        </w:rPr>
        <w:t xml:space="preserve"> программ формирования современной городской среды в рамках </w:t>
      </w:r>
      <w:r>
        <w:rPr>
          <w:b/>
          <w:i/>
          <w:color w:val="000000"/>
          <w:sz w:val="28"/>
          <w:szCs w:val="28"/>
        </w:rPr>
        <w:t>регионального проекта «Формирование комфортной городской среды (Брянская область)»</w:t>
      </w:r>
      <w:r>
        <w:rPr>
          <w:color w:val="000000"/>
          <w:sz w:val="28"/>
          <w:szCs w:val="28"/>
        </w:rPr>
        <w:t xml:space="preserve"> государственной программы «Формирование современной городской среды Брянской области»  предусмотрено 12 694 562,3</w:t>
      </w:r>
      <w:r>
        <w:rPr>
          <w:color w:val="000000"/>
          <w:sz w:val="28"/>
          <w:szCs w:val="28"/>
        </w:rPr>
        <w:t>7 рублей.  Расходы в 1 квартале не осуществлялись.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В рамках </w:t>
      </w:r>
      <w:r>
        <w:rPr>
          <w:b/>
          <w:i/>
          <w:color w:val="000000"/>
          <w:sz w:val="28"/>
          <w:szCs w:val="28"/>
        </w:rPr>
        <w:t>регионального проекта "Семейные ценности и инфраструктура культуры (Брянская область)"</w:t>
      </w:r>
      <w:r>
        <w:rPr>
          <w:color w:val="000000"/>
          <w:sz w:val="28"/>
          <w:szCs w:val="28"/>
        </w:rPr>
        <w:t xml:space="preserve"> государственной программы "Развитие культуры и туризма в Брянской области"</w:t>
      </w:r>
      <w:r>
        <w:rPr>
          <w:color w:val="000000"/>
          <w:sz w:val="18"/>
          <w:szCs w:val="18"/>
        </w:rPr>
        <w:t xml:space="preserve">    </w:t>
      </w:r>
      <w:r>
        <w:rPr>
          <w:color w:val="000000"/>
          <w:sz w:val="28"/>
          <w:szCs w:val="28"/>
        </w:rPr>
        <w:t>на государственную поддержку отрасли культуры (Приобретение музыкальных инструментов, оборудования и материалов, реконструкция и капитальный ремонт зданий муниципальных учреждений дополнительного образования сферы культуры)</w:t>
      </w:r>
      <w:r>
        <w:rPr>
          <w:color w:val="000000"/>
          <w:sz w:val="18"/>
          <w:szCs w:val="18"/>
        </w:rPr>
        <w:t xml:space="preserve">   </w:t>
      </w:r>
      <w:r>
        <w:rPr>
          <w:color w:val="000000"/>
          <w:sz w:val="28"/>
          <w:szCs w:val="28"/>
        </w:rPr>
        <w:t>предусмотрено 3 904 </w:t>
      </w:r>
      <w:r>
        <w:rPr>
          <w:color w:val="000000"/>
          <w:sz w:val="28"/>
          <w:szCs w:val="28"/>
        </w:rPr>
        <w:t>041,00 рублей,  на техническое оснащение муниципальных музеев в рамках регионального проекта предусмотрено 3 043 057,00 рублей. Исполнение за 1 квартал 2025 года составило 6 947 098,00 рублей, что составляет 100% плановых назначений.</w:t>
      </w:r>
    </w:p>
    <w:p w:rsidR="00000000" w:rsidRDefault="00031F6C">
      <w:pPr>
        <w:ind w:right="57"/>
        <w:jc w:val="both"/>
        <w:rPr>
          <w:color w:val="000000"/>
          <w:sz w:val="18"/>
          <w:szCs w:val="18"/>
        </w:rPr>
      </w:pP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18"/>
          <w:szCs w:val="18"/>
        </w:rPr>
        <w:lastRenderedPageBreak/>
        <w:t xml:space="preserve">        </w:t>
      </w:r>
      <w:r>
        <w:rPr>
          <w:color w:val="000000"/>
          <w:sz w:val="28"/>
          <w:szCs w:val="28"/>
        </w:rPr>
        <w:t xml:space="preserve"> В рамках </w:t>
      </w:r>
      <w:r>
        <w:rPr>
          <w:b/>
          <w:i/>
          <w:color w:val="000000"/>
          <w:sz w:val="28"/>
          <w:szCs w:val="28"/>
        </w:rPr>
        <w:t>рег</w:t>
      </w:r>
      <w:r>
        <w:rPr>
          <w:b/>
          <w:i/>
          <w:color w:val="000000"/>
          <w:sz w:val="28"/>
          <w:szCs w:val="28"/>
        </w:rPr>
        <w:t>ионального проекта «Педагоги и наставники (Брянская область)»</w:t>
      </w:r>
      <w:r>
        <w:rPr>
          <w:color w:val="000000"/>
          <w:sz w:val="28"/>
          <w:szCs w:val="28"/>
        </w:rPr>
        <w:t xml:space="preserve"> государственной программы «Развитие образования и науки Брянской области» на обеспечение выплат ежемесячного денежного вознаграждения советникам директоров по воспитанию и взаимодействию с детск</w:t>
      </w:r>
      <w:r>
        <w:rPr>
          <w:color w:val="000000"/>
          <w:sz w:val="28"/>
          <w:szCs w:val="28"/>
        </w:rPr>
        <w:t>ими общественными объединениями муниципальных общеобразовательных организаций предусмотрено 1 562 400 рублей; на проведение мероприятий по обеспечению деятельности советников директора по воспитанию и взаимодействию с детскими общественными объединениями в</w:t>
      </w:r>
      <w:r>
        <w:rPr>
          <w:color w:val="000000"/>
          <w:sz w:val="28"/>
          <w:szCs w:val="28"/>
        </w:rPr>
        <w:t xml:space="preserve"> общеобразовательных организациях предусмотрено 2 792 154,58 рублей; на обеспечение выплат ежемесячного денежного вознаграждения за классное руководство педагогическим работникам муниципальных общеобразовательных организаций, реализующих образовательные пр</w:t>
      </w:r>
      <w:r>
        <w:rPr>
          <w:color w:val="000000"/>
          <w:sz w:val="28"/>
          <w:szCs w:val="28"/>
        </w:rPr>
        <w:t>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предусмотрено 34 529 040,00 рублей. Исполнение за 1 квартал 2025 года составило 9 513 797,00 рублей, что со</w:t>
      </w:r>
      <w:r>
        <w:rPr>
          <w:color w:val="000000"/>
          <w:sz w:val="28"/>
          <w:szCs w:val="28"/>
        </w:rPr>
        <w:t>ставляет 24,5% плановых назначений.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На обеспечение мероприятий по модернизации коммунальной инфраструктуры в рамках </w:t>
      </w:r>
      <w:r>
        <w:rPr>
          <w:b/>
          <w:i/>
          <w:color w:val="000000"/>
          <w:sz w:val="28"/>
          <w:szCs w:val="28"/>
        </w:rPr>
        <w:t>регионального проекта «Модернизация коммунальной инфраструктуры»</w:t>
      </w:r>
      <w:r>
        <w:rPr>
          <w:color w:val="000000"/>
          <w:sz w:val="28"/>
          <w:szCs w:val="28"/>
        </w:rPr>
        <w:t xml:space="preserve"> государственной программы «Развитие топливно-энергетического комп</w:t>
      </w:r>
      <w:r>
        <w:rPr>
          <w:color w:val="000000"/>
          <w:sz w:val="28"/>
          <w:szCs w:val="28"/>
        </w:rPr>
        <w:t xml:space="preserve">лекса и жилищно-коммунального хозяйства Брянской области» предусмотрено 95 577 728,34 рублей. Расходы в 1 квартале не осуществлялись.          </w:t>
      </w:r>
    </w:p>
    <w:p w:rsidR="00000000" w:rsidRDefault="00031F6C">
      <w:pPr>
        <w:jc w:val="both"/>
        <w:rPr>
          <w:color w:val="000000"/>
          <w:sz w:val="28"/>
          <w:szCs w:val="28"/>
        </w:rPr>
      </w:pP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yellow"/>
        </w:rPr>
        <w:t xml:space="preserve">        </w:t>
      </w:r>
    </w:p>
    <w:p w:rsidR="00000000" w:rsidRDefault="00031F6C">
      <w:pPr>
        <w:ind w:firstLine="700"/>
        <w:jc w:val="both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>Исполнение бюджета за 1 квартал 2025 года по разделам и подразделам бюджетной классификации расходов с</w:t>
      </w:r>
      <w:r>
        <w:rPr>
          <w:color w:val="000000"/>
          <w:sz w:val="28"/>
          <w:szCs w:val="28"/>
        </w:rPr>
        <w:t>ложилось следующим образом.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Расходы по разделу </w:t>
      </w:r>
      <w:r>
        <w:rPr>
          <w:b/>
          <w:bCs/>
          <w:color w:val="000000"/>
          <w:sz w:val="28"/>
          <w:szCs w:val="28"/>
        </w:rPr>
        <w:t>0100 «Общегосударственные вопросы»</w:t>
      </w:r>
      <w:r>
        <w:rPr>
          <w:color w:val="000000"/>
          <w:sz w:val="28"/>
          <w:szCs w:val="28"/>
        </w:rPr>
        <w:t xml:space="preserve"> при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плане 111 271 165,10  рублей, исполнены в сумме 21 705 735,16 рублей, что составляет 19,5 % плановых назначений. </w:t>
      </w:r>
    </w:p>
    <w:p w:rsidR="00000000" w:rsidRDefault="00031F6C">
      <w:pPr>
        <w:ind w:firstLine="700"/>
        <w:jc w:val="both"/>
        <w:rPr>
          <w:color w:val="000000"/>
          <w:sz w:val="18"/>
          <w:szCs w:val="18"/>
        </w:rPr>
      </w:pPr>
      <w:r>
        <w:rPr>
          <w:b/>
          <w:bCs/>
          <w:color w:val="000000"/>
          <w:sz w:val="28"/>
          <w:szCs w:val="28"/>
        </w:rPr>
        <w:t xml:space="preserve">По подразделу </w:t>
      </w:r>
      <w:r>
        <w:rPr>
          <w:b/>
          <w:bCs/>
          <w:color w:val="000000"/>
          <w:sz w:val="28"/>
          <w:szCs w:val="28"/>
          <w:lang w:val="en-US"/>
        </w:rPr>
        <w:t> </w:t>
      </w:r>
      <w:r>
        <w:rPr>
          <w:b/>
          <w:bCs/>
          <w:color w:val="000000"/>
          <w:sz w:val="28"/>
          <w:szCs w:val="28"/>
        </w:rPr>
        <w:t>0103</w:t>
      </w:r>
      <w:r>
        <w:rPr>
          <w:color w:val="000000"/>
          <w:sz w:val="28"/>
          <w:szCs w:val="28"/>
        </w:rPr>
        <w:t xml:space="preserve"> «Функционирование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законодательных </w:t>
      </w:r>
      <w:r>
        <w:rPr>
          <w:color w:val="000000"/>
          <w:sz w:val="28"/>
          <w:szCs w:val="28"/>
        </w:rPr>
        <w:t xml:space="preserve">(представительных) органов государственной власти и представительных органов муниципальных образований» отражены расходы на обеспечение деятельности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совета народных депутатов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при плане 2 835 253,00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рублей,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расходы составили 566 105,36 рублей, что состав</w:t>
      </w:r>
      <w:r>
        <w:rPr>
          <w:color w:val="000000"/>
          <w:sz w:val="28"/>
          <w:szCs w:val="28"/>
        </w:rPr>
        <w:t xml:space="preserve">ляет 20,0 % плановых назначений. </w:t>
      </w:r>
    </w:p>
    <w:p w:rsidR="00000000" w:rsidRDefault="00031F6C">
      <w:pPr>
        <w:jc w:val="both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  <w:lang w:val="en-US"/>
        </w:rPr>
        <w:t>         </w:t>
      </w:r>
      <w:r>
        <w:rPr>
          <w:b/>
          <w:bCs/>
          <w:color w:val="000000"/>
          <w:sz w:val="28"/>
          <w:szCs w:val="28"/>
        </w:rPr>
        <w:t>По подразделу 0104</w:t>
      </w:r>
      <w:r>
        <w:rPr>
          <w:color w:val="000000"/>
          <w:sz w:val="28"/>
          <w:szCs w:val="28"/>
        </w:rPr>
        <w:t xml:space="preserve">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отражены расходы на содержание ц</w:t>
      </w:r>
      <w:r>
        <w:rPr>
          <w:color w:val="000000"/>
          <w:sz w:val="28"/>
          <w:szCs w:val="28"/>
        </w:rPr>
        <w:t>ентрального аппарата администрации Стародубского муниципального округа. При плане 52 551 369,00 рублей, расходы составили 10 352 134,58 рублей, что составляет 19,7% плановых назначений.</w:t>
      </w:r>
    </w:p>
    <w:p w:rsidR="00000000" w:rsidRDefault="00031F6C">
      <w:pPr>
        <w:ind w:firstLine="700"/>
        <w:jc w:val="both"/>
        <w:rPr>
          <w:color w:val="000000"/>
          <w:sz w:val="18"/>
          <w:szCs w:val="18"/>
        </w:rPr>
      </w:pPr>
      <w:r>
        <w:rPr>
          <w:b/>
          <w:bCs/>
          <w:color w:val="000000"/>
          <w:sz w:val="28"/>
          <w:szCs w:val="28"/>
        </w:rPr>
        <w:t xml:space="preserve">По подразделу 0105 </w:t>
      </w:r>
      <w:r>
        <w:rPr>
          <w:bCs/>
          <w:color w:val="000000"/>
          <w:sz w:val="28"/>
          <w:szCs w:val="28"/>
        </w:rPr>
        <w:t>« Судебная система»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отражены расходы по субвенции н</w:t>
      </w:r>
      <w:r>
        <w:rPr>
          <w:color w:val="000000"/>
          <w:sz w:val="28"/>
          <w:szCs w:val="28"/>
        </w:rPr>
        <w:t xml:space="preserve">а осуществление полномочий по составлению (изменению) </w:t>
      </w:r>
      <w:r>
        <w:rPr>
          <w:color w:val="000000"/>
          <w:sz w:val="28"/>
          <w:szCs w:val="28"/>
        </w:rPr>
        <w:lastRenderedPageBreak/>
        <w:t>списков кандидатов в присяжные заседатели федеральных судов общей юрисдикции в Российской Федерации при плане 9 843,00 рублей,  расходы в 1 квартале составили 9 843,00 рублей.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        </w:t>
      </w:r>
      <w:r>
        <w:rPr>
          <w:rFonts w:eastAsia="Times New Roman" w:cs="Calibri"/>
          <w:b/>
          <w:bCs/>
          <w:color w:val="000000"/>
          <w:sz w:val="28"/>
          <w:szCs w:val="20"/>
        </w:rPr>
        <w:t>По подразделу 0106</w:t>
      </w:r>
      <w:r>
        <w:rPr>
          <w:color w:val="000000"/>
          <w:sz w:val="28"/>
          <w:szCs w:val="28"/>
        </w:rPr>
        <w:t xml:space="preserve"> «Обеспечение деятельности финансовых, налоговых и таможенных органов и органов финансового (финансового - бюджетного) надзора» отражены расходы на содержание финансового органа и Контрольно-счетной палаты муниципального образования, при плане 11 208 539,0</w:t>
      </w:r>
      <w:r>
        <w:rPr>
          <w:color w:val="000000"/>
          <w:sz w:val="28"/>
          <w:szCs w:val="28"/>
        </w:rPr>
        <w:t xml:space="preserve">0 рублей, расходы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составили 2 092 858,12 рублей, что составляет 18,6 % плановых назначений.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b/>
          <w:color w:val="000000"/>
          <w:sz w:val="28"/>
          <w:szCs w:val="28"/>
        </w:rPr>
        <w:t>По подразделу 0107</w:t>
      </w:r>
      <w:r>
        <w:rPr>
          <w:color w:val="000000"/>
          <w:sz w:val="28"/>
          <w:szCs w:val="28"/>
        </w:rPr>
        <w:t xml:space="preserve"> «Обеспечение проведения выборов и референдумов» при плане 5 019 533,00 рублей, исполнение составило 0,00 рублей.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rFonts w:eastAsia="Times New Roman" w:cs="Calibri"/>
          <w:b/>
          <w:bCs/>
          <w:color w:val="000000"/>
          <w:sz w:val="28"/>
          <w:szCs w:val="20"/>
        </w:rPr>
        <w:t>По подразделу 0111</w:t>
      </w:r>
      <w:r>
        <w:rPr>
          <w:color w:val="000000"/>
          <w:sz w:val="28"/>
          <w:szCs w:val="28"/>
        </w:rPr>
        <w:t xml:space="preserve"> «Ре</w:t>
      </w:r>
      <w:r>
        <w:rPr>
          <w:color w:val="000000"/>
          <w:sz w:val="28"/>
          <w:szCs w:val="28"/>
        </w:rPr>
        <w:t>зервные фонды» при плане 50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000,00 рублей, расходы составили 0,00 рублей. 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rFonts w:eastAsia="Times New Roman" w:cs="Calibri"/>
          <w:b/>
          <w:bCs/>
          <w:color w:val="000000"/>
          <w:sz w:val="28"/>
          <w:szCs w:val="20"/>
        </w:rPr>
        <w:t xml:space="preserve">По подразделу 0113 </w:t>
      </w:r>
      <w:r>
        <w:rPr>
          <w:color w:val="000000"/>
          <w:sz w:val="28"/>
          <w:szCs w:val="28"/>
        </w:rPr>
        <w:t xml:space="preserve">«Другие общегосударственные вопросы»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 при плане 39 596 628,10 рублей, расходы составили 8 684 794,10 рублей, что составляет 21,9 % плановых назначений. 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Расходы по разделу </w:t>
      </w:r>
      <w:r>
        <w:rPr>
          <w:b/>
          <w:color w:val="000000"/>
          <w:sz w:val="28"/>
          <w:szCs w:val="28"/>
        </w:rPr>
        <w:t>0200 «Национальная оборона»</w:t>
      </w:r>
      <w:r>
        <w:rPr>
          <w:color w:val="000000"/>
          <w:sz w:val="28"/>
          <w:szCs w:val="28"/>
        </w:rPr>
        <w:t xml:space="preserve">, </w:t>
      </w:r>
      <w:r>
        <w:rPr>
          <w:b/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при плане 1 222 844,00 рублей,  исполнены в сумме 242 270,51 рублей, что составляет 19,8 % плановых назначений. 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 подразделу 0203 </w:t>
      </w:r>
      <w:r>
        <w:rPr>
          <w:color w:val="000000"/>
          <w:sz w:val="28"/>
          <w:szCs w:val="28"/>
        </w:rPr>
        <w:t>«Мобилизационная и вневойсковая подготовка»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отражены расходы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 счет средст</w:t>
      </w:r>
      <w:r>
        <w:rPr>
          <w:color w:val="000000"/>
          <w:sz w:val="28"/>
          <w:szCs w:val="28"/>
        </w:rPr>
        <w:t xml:space="preserve">в субвенции на осуществление полномочий по ведению первичного воинского на территориях, где отсутствуют военные комиссариаты. При плане 1 222 844,00 рублей, расходы составили 242 270,51 рублей, что составляет 19,8 % плановых назначений. </w:t>
      </w:r>
    </w:p>
    <w:p w:rsidR="00000000" w:rsidRDefault="00031F6C">
      <w:pPr>
        <w:ind w:firstLine="700"/>
        <w:jc w:val="both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  <w:lang w:val="en-US"/>
        </w:rPr>
        <w:t> 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Расходы по разде</w:t>
      </w:r>
      <w:r>
        <w:rPr>
          <w:color w:val="000000"/>
          <w:sz w:val="28"/>
          <w:szCs w:val="28"/>
        </w:rPr>
        <w:t xml:space="preserve">лу </w:t>
      </w:r>
      <w:r>
        <w:rPr>
          <w:b/>
          <w:bCs/>
          <w:color w:val="000000"/>
          <w:sz w:val="28"/>
          <w:szCs w:val="28"/>
        </w:rPr>
        <w:t>0300 «Национальная безопасность и правоохранительная деятельность»</w:t>
      </w:r>
      <w:r>
        <w:rPr>
          <w:color w:val="000000"/>
          <w:sz w:val="28"/>
          <w:szCs w:val="28"/>
        </w:rPr>
        <w:t xml:space="preserve"> при плане 6 176 408,00 рублей, расходы исполнены в сумме 1 275 006,63 рублей, что составляет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20,6 % плановых назначений. 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подразделу 0309</w:t>
      </w:r>
      <w:r>
        <w:rPr>
          <w:color w:val="000000"/>
          <w:sz w:val="28"/>
          <w:szCs w:val="28"/>
        </w:rPr>
        <w:t xml:space="preserve"> «Гражданская оборона» при плане 25 600,00 ру</w:t>
      </w:r>
      <w:r>
        <w:rPr>
          <w:color w:val="000000"/>
          <w:sz w:val="28"/>
          <w:szCs w:val="28"/>
        </w:rPr>
        <w:t>блей, исполнение составило 0,00 рублей.</w:t>
      </w:r>
    </w:p>
    <w:p w:rsidR="00000000" w:rsidRDefault="00031F6C">
      <w:pPr>
        <w:ind w:firstLine="700"/>
        <w:jc w:val="both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</w:rPr>
        <w:t>По подразделу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lang w:val="en-US"/>
        </w:rPr>
        <w:t> </w:t>
      </w:r>
      <w:r>
        <w:rPr>
          <w:b/>
          <w:bCs/>
          <w:color w:val="000000"/>
          <w:sz w:val="28"/>
          <w:szCs w:val="28"/>
        </w:rPr>
        <w:t xml:space="preserve">0310 </w:t>
      </w:r>
      <w:r>
        <w:rPr>
          <w:color w:val="000000"/>
          <w:sz w:val="28"/>
          <w:szCs w:val="28"/>
        </w:rPr>
        <w:t>«Защита населения и территории от чрезвычайных ситуаций природного и техногенного характера, пожарная безопасность» при плане 6 150 808,00 рублей, расходы составили 1 275 006,63 рублей, или 20,7%.</w:t>
      </w:r>
      <w:r>
        <w:rPr>
          <w:color w:val="000000"/>
          <w:sz w:val="28"/>
          <w:szCs w:val="28"/>
        </w:rPr>
        <w:t xml:space="preserve"> По данному подразделу отражены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расходы на содержание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Единой дежурно-диспетчерской службы.</w:t>
      </w:r>
    </w:p>
    <w:p w:rsidR="00000000" w:rsidRDefault="00031F6C">
      <w:pPr>
        <w:jc w:val="both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  <w:lang w:val="en-US"/>
        </w:rPr>
        <w:t>           </w:t>
      </w:r>
    </w:p>
    <w:p w:rsidR="00000000" w:rsidRDefault="00031F6C">
      <w:pPr>
        <w:ind w:firstLine="700"/>
        <w:jc w:val="both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  <w:lang w:val="en-US"/>
        </w:rPr>
        <w:t> 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Расходы по разделу </w:t>
      </w:r>
      <w:r>
        <w:rPr>
          <w:b/>
          <w:bCs/>
          <w:color w:val="000000"/>
          <w:sz w:val="28"/>
          <w:szCs w:val="28"/>
        </w:rPr>
        <w:t>0400 «Национальная экономика»</w:t>
      </w:r>
      <w:r>
        <w:rPr>
          <w:color w:val="000000"/>
          <w:sz w:val="28"/>
          <w:szCs w:val="28"/>
        </w:rPr>
        <w:t xml:space="preserve"> при плане 65 956 989,22  рублей, расходы исполнены в сумме 9 998 789,86 рублей, что составляет 15,2 </w:t>
      </w:r>
      <w:r>
        <w:rPr>
          <w:color w:val="000000"/>
          <w:sz w:val="28"/>
          <w:szCs w:val="28"/>
        </w:rPr>
        <w:t xml:space="preserve">% плановых назначений. 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подразделу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0405 </w:t>
      </w:r>
      <w:r>
        <w:rPr>
          <w:color w:val="000000"/>
          <w:sz w:val="28"/>
          <w:szCs w:val="28"/>
        </w:rPr>
        <w:t xml:space="preserve">«Сельское хозяйство и рыболовство» при плане 212 987,07 рублей, исполнение составило 0,00 рублей. Отражены расходы по </w:t>
      </w:r>
      <w:r>
        <w:rPr>
          <w:color w:val="000000"/>
          <w:sz w:val="28"/>
          <w:szCs w:val="28"/>
        </w:rPr>
        <w:lastRenderedPageBreak/>
        <w:t>реализации государственных полномочий в части организации отлова и содержания безнадзорных живо</w:t>
      </w:r>
      <w:r>
        <w:rPr>
          <w:color w:val="000000"/>
          <w:sz w:val="28"/>
          <w:szCs w:val="28"/>
        </w:rPr>
        <w:t>тных.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подразделу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0406</w:t>
      </w:r>
      <w:r>
        <w:rPr>
          <w:color w:val="000000"/>
          <w:sz w:val="28"/>
          <w:szCs w:val="28"/>
        </w:rPr>
        <w:t xml:space="preserve"> «Водное хозяйство» при плане 20 880,00 рублей, расходы составили 0,00 рублей.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          </w:t>
      </w:r>
      <w:r>
        <w:rPr>
          <w:b/>
          <w:color w:val="000000"/>
          <w:sz w:val="28"/>
          <w:szCs w:val="28"/>
        </w:rPr>
        <w:t>По подразделу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lang w:val="en-US"/>
        </w:rPr>
        <w:t> </w:t>
      </w:r>
      <w:r>
        <w:rPr>
          <w:b/>
          <w:bCs/>
          <w:color w:val="000000"/>
          <w:sz w:val="28"/>
          <w:szCs w:val="28"/>
        </w:rPr>
        <w:t>0408</w:t>
      </w:r>
      <w:r>
        <w:rPr>
          <w:color w:val="000000"/>
          <w:sz w:val="28"/>
          <w:szCs w:val="28"/>
        </w:rPr>
        <w:t xml:space="preserve"> «Транспорт» при плане 13 695 000,00 рублей, расходы составили 1 978 238,24 рублей, что составляет 14,4% плановых </w:t>
      </w:r>
      <w:r>
        <w:rPr>
          <w:color w:val="000000"/>
          <w:sz w:val="28"/>
          <w:szCs w:val="28"/>
        </w:rPr>
        <w:t>назначений.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28"/>
          <w:szCs w:val="28"/>
        </w:rPr>
        <w:t>По данному подразделу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28"/>
          <w:szCs w:val="28"/>
        </w:rPr>
        <w:t xml:space="preserve">отражены расходы </w:t>
      </w:r>
      <w:r>
        <w:rPr>
          <w:color w:val="000000"/>
          <w:sz w:val="28"/>
          <w:szCs w:val="28"/>
          <w:lang w:val="en-US"/>
        </w:rPr>
        <w:t xml:space="preserve">  </w:t>
      </w:r>
      <w:r>
        <w:rPr>
          <w:color w:val="000000"/>
          <w:sz w:val="28"/>
          <w:szCs w:val="28"/>
        </w:rPr>
        <w:t>на организацию транспортного обслуживания населения пассажирским транспортом.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 xml:space="preserve">           </w:t>
      </w:r>
      <w:r>
        <w:rPr>
          <w:b/>
          <w:color w:val="000000"/>
          <w:sz w:val="28"/>
          <w:szCs w:val="28"/>
        </w:rPr>
        <w:t>По подразделу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lang w:val="en-US"/>
        </w:rPr>
        <w:t> </w:t>
      </w:r>
      <w:r>
        <w:rPr>
          <w:b/>
          <w:bCs/>
          <w:color w:val="000000"/>
          <w:sz w:val="28"/>
          <w:szCs w:val="28"/>
        </w:rPr>
        <w:t>0409</w:t>
      </w:r>
      <w:r>
        <w:rPr>
          <w:color w:val="000000"/>
          <w:sz w:val="28"/>
          <w:szCs w:val="28"/>
        </w:rPr>
        <w:t xml:space="preserve"> «Дорожное хозяйство (дорожные фонды)» при плане 51 907 868,15 рублей, расходы составили 8 020 </w:t>
      </w:r>
      <w:r>
        <w:rPr>
          <w:color w:val="000000"/>
          <w:sz w:val="28"/>
          <w:szCs w:val="28"/>
        </w:rPr>
        <w:t xml:space="preserve">551,62 рублей, или 15,4 % плановых назначений. 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данному подразделу отражены расходы на обеспечение дорожной деятельности за счет средств областного бюджета и дорожного фонда Стародубского муниципального округа. 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          </w:t>
      </w:r>
      <w:r>
        <w:rPr>
          <w:b/>
          <w:color w:val="000000"/>
          <w:sz w:val="28"/>
          <w:szCs w:val="28"/>
        </w:rPr>
        <w:t>По подразделу</w:t>
      </w:r>
      <w:r>
        <w:rPr>
          <w:b/>
          <w:bCs/>
          <w:color w:val="000000"/>
          <w:sz w:val="28"/>
          <w:szCs w:val="28"/>
        </w:rPr>
        <w:t xml:space="preserve"> 0412</w:t>
      </w:r>
      <w:r>
        <w:rPr>
          <w:color w:val="000000"/>
          <w:sz w:val="28"/>
          <w:szCs w:val="28"/>
        </w:rPr>
        <w:t xml:space="preserve"> «Другие вопр</w:t>
      </w:r>
      <w:r>
        <w:rPr>
          <w:color w:val="000000"/>
          <w:sz w:val="28"/>
          <w:szCs w:val="28"/>
        </w:rPr>
        <w:t>осы в области национальной экономики» при плане 120 254,00 рублей, расходы составили 0,00 рублей.</w:t>
      </w:r>
    </w:p>
    <w:p w:rsidR="00000000" w:rsidRDefault="00031F6C">
      <w:pPr>
        <w:jc w:val="both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 xml:space="preserve"> 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Расходы по разделу </w:t>
      </w:r>
      <w:r>
        <w:rPr>
          <w:b/>
          <w:bCs/>
          <w:color w:val="000000"/>
          <w:sz w:val="28"/>
          <w:szCs w:val="28"/>
        </w:rPr>
        <w:t>0500 «Жилищно - коммунальное хозяйство»</w:t>
      </w:r>
      <w:r>
        <w:rPr>
          <w:color w:val="000000"/>
          <w:sz w:val="28"/>
          <w:szCs w:val="28"/>
        </w:rPr>
        <w:t xml:space="preserve"> при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плане  156 194 544,42  рублей, исполнены на сумму 10 480 </w:t>
      </w:r>
      <w:r>
        <w:rPr>
          <w:color w:val="000000"/>
          <w:sz w:val="28"/>
          <w:szCs w:val="28"/>
        </w:rPr>
        <w:t xml:space="preserve">759,30 рублей, что составляет 6,7 % плановых назначений. 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подразделу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lang w:val="en-US"/>
        </w:rPr>
        <w:t> </w:t>
      </w:r>
      <w:r>
        <w:rPr>
          <w:b/>
          <w:bCs/>
          <w:color w:val="000000"/>
          <w:sz w:val="28"/>
          <w:szCs w:val="28"/>
        </w:rPr>
        <w:t>0501</w:t>
      </w:r>
      <w:r>
        <w:rPr>
          <w:color w:val="000000"/>
          <w:sz w:val="28"/>
          <w:szCs w:val="28"/>
        </w:rPr>
        <w:t xml:space="preserve"> «Жилищное хозяйство» при плане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281 442,00 рублей,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расходы составили 51 152,32 рублей, что составляет 18,2% плановых назначений </w:t>
      </w:r>
    </w:p>
    <w:p w:rsidR="00000000" w:rsidRDefault="00031F6C">
      <w:pPr>
        <w:ind w:firstLine="700"/>
        <w:jc w:val="both"/>
        <w:rPr>
          <w:color w:val="000000"/>
          <w:sz w:val="18"/>
          <w:szCs w:val="18"/>
        </w:rPr>
      </w:pPr>
      <w:r>
        <w:rPr>
          <w:b/>
          <w:color w:val="000000"/>
          <w:sz w:val="28"/>
          <w:szCs w:val="28"/>
        </w:rPr>
        <w:t>По подразделу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lang w:val="en-US"/>
        </w:rPr>
        <w:t> </w:t>
      </w:r>
      <w:r>
        <w:rPr>
          <w:b/>
          <w:bCs/>
          <w:color w:val="000000"/>
          <w:sz w:val="28"/>
          <w:szCs w:val="28"/>
        </w:rPr>
        <w:t>0502</w:t>
      </w:r>
      <w:r>
        <w:rPr>
          <w:color w:val="000000"/>
          <w:sz w:val="28"/>
          <w:szCs w:val="28"/>
        </w:rPr>
        <w:t xml:space="preserve"> « Коммунальное хозяйство» пр</w:t>
      </w:r>
      <w:r>
        <w:rPr>
          <w:color w:val="000000"/>
          <w:sz w:val="28"/>
          <w:szCs w:val="28"/>
        </w:rPr>
        <w:t>и плане 107 805 935,69  рублей, расходы составили 67 589,52 рублей.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подразделу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lang w:val="en-US"/>
        </w:rPr>
        <w:t> </w:t>
      </w:r>
      <w:r>
        <w:rPr>
          <w:b/>
          <w:bCs/>
          <w:color w:val="000000"/>
          <w:sz w:val="28"/>
          <w:szCs w:val="28"/>
        </w:rPr>
        <w:t>0503</w:t>
      </w:r>
      <w:r>
        <w:rPr>
          <w:color w:val="000000"/>
          <w:sz w:val="28"/>
          <w:szCs w:val="28"/>
        </w:rPr>
        <w:t xml:space="preserve"> «Благоустройство» при плане 48 107 166,73 рублей, расходы составили 10 362 017,36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рублей, что составляет 21,5% плановых назначений. По данному подразделу осуществлялис</w:t>
      </w:r>
      <w:r>
        <w:rPr>
          <w:color w:val="000000"/>
          <w:sz w:val="28"/>
          <w:szCs w:val="28"/>
        </w:rPr>
        <w:t xml:space="preserve">ь расходы 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организацию и обеспечение освещения улиц в сумме 2 147 270,23 рублей, 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мероприятия по благоустройству в сумме 8 214 747,13рублей.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Расходы по разделу </w:t>
      </w:r>
      <w:r>
        <w:rPr>
          <w:b/>
          <w:color w:val="000000"/>
          <w:sz w:val="28"/>
          <w:szCs w:val="28"/>
        </w:rPr>
        <w:t xml:space="preserve">0600 «Охрана окружающей среды» </w:t>
      </w:r>
      <w:r>
        <w:rPr>
          <w:color w:val="000000"/>
          <w:sz w:val="28"/>
          <w:szCs w:val="28"/>
        </w:rPr>
        <w:t xml:space="preserve"> при плане 406 638,00 рублей, состави</w:t>
      </w:r>
      <w:r>
        <w:rPr>
          <w:color w:val="000000"/>
          <w:sz w:val="28"/>
          <w:szCs w:val="28"/>
        </w:rPr>
        <w:t>ли 0,00 рубля.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подразделу </w:t>
      </w:r>
      <w:r>
        <w:rPr>
          <w:b/>
          <w:color w:val="000000"/>
          <w:sz w:val="28"/>
          <w:szCs w:val="28"/>
        </w:rPr>
        <w:t>0601</w:t>
      </w:r>
      <w:r>
        <w:rPr>
          <w:color w:val="000000"/>
          <w:sz w:val="28"/>
          <w:szCs w:val="28"/>
        </w:rPr>
        <w:t xml:space="preserve"> «Экологический контроль» при плане 406 638,00  рублей, расходы составили 0,00 рублей.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Расходы по разделу </w:t>
      </w:r>
      <w:r>
        <w:rPr>
          <w:b/>
          <w:bCs/>
          <w:color w:val="000000"/>
          <w:sz w:val="28"/>
          <w:szCs w:val="28"/>
        </w:rPr>
        <w:t>0700 «Образование»</w:t>
      </w:r>
      <w:r>
        <w:rPr>
          <w:color w:val="000000"/>
          <w:sz w:val="28"/>
          <w:szCs w:val="28"/>
        </w:rPr>
        <w:t xml:space="preserve"> при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плане 781 421 372,04 рублей, исполнены в сумме 170 547 283,05 рублей, что составляет 21,8% п</w:t>
      </w:r>
      <w:r>
        <w:rPr>
          <w:color w:val="000000"/>
          <w:sz w:val="28"/>
          <w:szCs w:val="28"/>
        </w:rPr>
        <w:t xml:space="preserve">лановых назначений. 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подразделу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0701</w:t>
      </w:r>
      <w:r>
        <w:rPr>
          <w:color w:val="000000"/>
          <w:sz w:val="28"/>
          <w:szCs w:val="28"/>
        </w:rPr>
        <w:t xml:space="preserve"> «Дошкольное образование» при плане 226 952 339,28 рублей, произведено расходов на сумму 37 517 544,22 рублей, что составляет  16,5% плановых назначений. </w:t>
      </w:r>
    </w:p>
    <w:p w:rsidR="00000000" w:rsidRDefault="00031F6C">
      <w:pPr>
        <w:ind w:firstLine="700"/>
        <w:jc w:val="both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lastRenderedPageBreak/>
        <w:t xml:space="preserve"> </w:t>
      </w:r>
      <w:r>
        <w:rPr>
          <w:b/>
          <w:color w:val="000000"/>
          <w:sz w:val="28"/>
          <w:szCs w:val="28"/>
        </w:rPr>
        <w:t>По подразделу</w:t>
      </w:r>
      <w:r>
        <w:rPr>
          <w:b/>
          <w:bCs/>
          <w:color w:val="000000"/>
          <w:sz w:val="28"/>
          <w:szCs w:val="28"/>
        </w:rPr>
        <w:t xml:space="preserve"> 0702</w:t>
      </w:r>
      <w:r>
        <w:rPr>
          <w:color w:val="000000"/>
          <w:sz w:val="28"/>
          <w:szCs w:val="28"/>
        </w:rPr>
        <w:t xml:space="preserve"> «Общее образование» при плане 391 941 112,</w:t>
      </w:r>
      <w:r>
        <w:rPr>
          <w:color w:val="000000"/>
          <w:sz w:val="28"/>
          <w:szCs w:val="28"/>
        </w:rPr>
        <w:t>20 рублей, расходы составили 95 475 178,54 рублей, что составляет 24,4% плановых назначений.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подразделу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0703</w:t>
      </w:r>
      <w:r>
        <w:rPr>
          <w:color w:val="000000"/>
          <w:sz w:val="28"/>
          <w:szCs w:val="28"/>
        </w:rPr>
        <w:t xml:space="preserve"> «Дополнительное образование детей» при плане 31 326 056,00 рублей,  расходы составили 10 338 188,86 рублей, что составляет 33,0% плановых назнач</w:t>
      </w:r>
      <w:r>
        <w:rPr>
          <w:color w:val="000000"/>
          <w:sz w:val="28"/>
          <w:szCs w:val="28"/>
        </w:rPr>
        <w:t xml:space="preserve">ений. 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подразделу 0707</w:t>
      </w:r>
      <w:r>
        <w:rPr>
          <w:color w:val="000000"/>
          <w:sz w:val="28"/>
          <w:szCs w:val="28"/>
        </w:rPr>
        <w:t xml:space="preserve"> «Молодежная политика» при плане 200 000,00 рублей, расходы составили 11600,00 рублей.</w:t>
      </w:r>
    </w:p>
    <w:p w:rsidR="00000000" w:rsidRDefault="00031F6C">
      <w:pPr>
        <w:ind w:firstLine="700"/>
        <w:jc w:val="both"/>
        <w:rPr>
          <w:color w:val="000000"/>
          <w:sz w:val="18"/>
          <w:szCs w:val="18"/>
        </w:rPr>
      </w:pPr>
      <w:r>
        <w:rPr>
          <w:rFonts w:eastAsia="Times New Roman" w:cs="Calibri"/>
          <w:b/>
          <w:color w:val="000000"/>
          <w:sz w:val="28"/>
          <w:szCs w:val="20"/>
        </w:rPr>
        <w:t>По подразделу</w:t>
      </w:r>
      <w:r>
        <w:rPr>
          <w:rFonts w:eastAsia="Times New Roman" w:cs="Calibri"/>
          <w:b/>
          <w:bCs/>
          <w:color w:val="000000"/>
          <w:sz w:val="28"/>
          <w:szCs w:val="20"/>
        </w:rPr>
        <w:t xml:space="preserve"> 0709</w:t>
      </w:r>
      <w:r>
        <w:rPr>
          <w:rFonts w:eastAsia="Times New Roman" w:cs="Calibri"/>
          <w:color w:val="000000"/>
          <w:sz w:val="28"/>
          <w:szCs w:val="20"/>
        </w:rPr>
        <w:t xml:space="preserve"> «Другие вопросы в области образования» при плане 131 001 864,56 рублей, расходы составили 27 204 771,43 рублей, что составляе</w:t>
      </w:r>
      <w:r>
        <w:rPr>
          <w:rFonts w:eastAsia="Times New Roman" w:cs="Calibri"/>
          <w:color w:val="000000"/>
          <w:sz w:val="28"/>
          <w:szCs w:val="20"/>
        </w:rPr>
        <w:t>т 20,8% плановых назначений.</w:t>
      </w:r>
    </w:p>
    <w:p w:rsidR="00000000" w:rsidRDefault="00031F6C">
      <w:pPr>
        <w:jc w:val="both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  <w:lang w:val="en-US"/>
        </w:rPr>
        <w:t>          </w:t>
      </w:r>
      <w:r>
        <w:rPr>
          <w:color w:val="000000"/>
          <w:sz w:val="28"/>
          <w:szCs w:val="28"/>
        </w:rPr>
        <w:t xml:space="preserve">По данному подразделу отражены следующие </w:t>
      </w:r>
      <w:proofErr w:type="gramStart"/>
      <w:r>
        <w:rPr>
          <w:color w:val="000000"/>
          <w:sz w:val="28"/>
          <w:szCs w:val="28"/>
        </w:rPr>
        <w:t>расходы :</w:t>
      </w:r>
      <w:proofErr w:type="gramEnd"/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 содержание аппарата отдела образования муниципального округа израсходовано 642 495,80 рублей;</w:t>
      </w:r>
    </w:p>
    <w:p w:rsidR="00000000" w:rsidRDefault="00031F6C">
      <w:pPr>
        <w:jc w:val="both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 xml:space="preserve">- на содержание МКУ "Центр обслуживания системы образования" </w:t>
      </w:r>
      <w:r>
        <w:rPr>
          <w:color w:val="000000"/>
          <w:sz w:val="28"/>
          <w:szCs w:val="28"/>
        </w:rPr>
        <w:t>Стародубского муниципального округа Брянской области израсходовано 3 621 161,66 рублей;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на содержание обслуживающего персонала образовательных организаций израсходовано 21 951 460,46 рублей; 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 обеспечение деятельности центра социально-психологическо</w:t>
      </w:r>
      <w:r>
        <w:rPr>
          <w:color w:val="000000"/>
          <w:sz w:val="28"/>
          <w:szCs w:val="28"/>
        </w:rPr>
        <w:t>й помощи израсходовано 955 653,51 рублей;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 </w:t>
      </w:r>
      <w:proofErr w:type="spellStart"/>
      <w:r>
        <w:rPr>
          <w:color w:val="000000"/>
          <w:sz w:val="28"/>
          <w:szCs w:val="28"/>
        </w:rPr>
        <w:t>грантовую</w:t>
      </w:r>
      <w:proofErr w:type="spellEnd"/>
      <w:r>
        <w:rPr>
          <w:color w:val="000000"/>
          <w:sz w:val="28"/>
          <w:szCs w:val="28"/>
        </w:rPr>
        <w:t xml:space="preserve"> поддержку работников муниципальных учреждений израсходовано 34 000,00 рублей.</w:t>
      </w:r>
    </w:p>
    <w:p w:rsidR="00000000" w:rsidRDefault="00031F6C">
      <w:pPr>
        <w:jc w:val="both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  <w:lang w:val="en-US"/>
        </w:rPr>
        <w:t> 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Расходы по разделу </w:t>
      </w:r>
      <w:r>
        <w:rPr>
          <w:b/>
          <w:bCs/>
          <w:color w:val="000000"/>
          <w:sz w:val="28"/>
          <w:szCs w:val="28"/>
        </w:rPr>
        <w:t>0800 «Культура и кинематография»</w:t>
      </w:r>
      <w:r>
        <w:rPr>
          <w:color w:val="000000"/>
          <w:sz w:val="28"/>
          <w:szCs w:val="28"/>
        </w:rPr>
        <w:t xml:space="preserve"> при плане 95 981 217,00 рублей, исполнены в сумме 27 341 </w:t>
      </w:r>
      <w:r>
        <w:rPr>
          <w:color w:val="000000"/>
          <w:sz w:val="28"/>
          <w:szCs w:val="28"/>
        </w:rPr>
        <w:t xml:space="preserve">103,15 рублей, что составляет 28,5 % плановых назначений. 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подразделу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0801</w:t>
      </w:r>
      <w:r>
        <w:rPr>
          <w:color w:val="000000"/>
          <w:sz w:val="28"/>
          <w:szCs w:val="28"/>
        </w:rPr>
        <w:t xml:space="preserve"> «Культура» при плане 70 295 747,00 рублей, расходы составили 21 863 547,80 рублей, что составляет 31,1 % плановых назначений.</w:t>
      </w:r>
    </w:p>
    <w:p w:rsidR="00000000" w:rsidRDefault="00031F6C">
      <w:pPr>
        <w:ind w:firstLine="700"/>
        <w:jc w:val="both"/>
        <w:rPr>
          <w:color w:val="000000"/>
          <w:sz w:val="18"/>
          <w:szCs w:val="18"/>
        </w:rPr>
      </w:pPr>
    </w:p>
    <w:p w:rsidR="00000000" w:rsidRDefault="00031F6C">
      <w:pPr>
        <w:ind w:firstLine="700"/>
        <w:jc w:val="both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>Деятельность учреждений культуры направлена на созд</w:t>
      </w:r>
      <w:r>
        <w:rPr>
          <w:color w:val="000000"/>
          <w:sz w:val="28"/>
          <w:szCs w:val="28"/>
        </w:rPr>
        <w:t xml:space="preserve">ание условий для организации досуга и обеспечение жителей услугами учреждений культуры, сохранение и развитие местного традиционного художественного творчества на территории Стародубского муниципального округа Брянской области, организация библиотечного и </w:t>
      </w:r>
      <w:r>
        <w:rPr>
          <w:color w:val="000000"/>
          <w:sz w:val="28"/>
          <w:szCs w:val="28"/>
        </w:rPr>
        <w:t>музейного обслуживания населения округа.</w:t>
      </w:r>
    </w:p>
    <w:p w:rsidR="00000000" w:rsidRDefault="00031F6C">
      <w:pPr>
        <w:ind w:firstLine="540"/>
        <w:jc w:val="both"/>
        <w:rPr>
          <w:color w:val="000000"/>
          <w:sz w:val="18"/>
          <w:szCs w:val="18"/>
        </w:rPr>
      </w:pPr>
      <w:r>
        <w:rPr>
          <w:rFonts w:eastAsia="Times New Roman" w:cs="Calibri"/>
          <w:color w:val="FF0000"/>
          <w:sz w:val="28"/>
          <w:szCs w:val="20"/>
          <w:lang w:val="en-US"/>
        </w:rPr>
        <w:t> </w:t>
      </w:r>
      <w:r>
        <w:rPr>
          <w:b/>
          <w:color w:val="000000"/>
          <w:sz w:val="28"/>
          <w:szCs w:val="28"/>
        </w:rPr>
        <w:t>По подразделу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0804</w:t>
      </w:r>
      <w:r>
        <w:rPr>
          <w:color w:val="000000"/>
          <w:sz w:val="28"/>
          <w:szCs w:val="28"/>
        </w:rPr>
        <w:t xml:space="preserve"> «Другие вопросы в области культуры, кинематографии» при плане 25 685 470,00 рублей, расходы составили 5 477 555,35 рублей, что составляет  21,3% плановых назначений. По данному подразделу произве</w:t>
      </w:r>
      <w:r>
        <w:rPr>
          <w:color w:val="000000"/>
          <w:sz w:val="28"/>
          <w:szCs w:val="28"/>
        </w:rPr>
        <w:t>дены расходы:</w:t>
      </w:r>
    </w:p>
    <w:p w:rsidR="00000000" w:rsidRDefault="00031F6C">
      <w:pPr>
        <w:jc w:val="both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 xml:space="preserve">- на содержание аппарата отдела культуры в сумме 169 484,45 рублей; 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 выплату заработной платы прочего персонала, переведенного из учреждений культуры в КУ "Служба хозяйственного и транспортного обслуживания" в сумме 3 865 485,34 рублей;</w:t>
      </w:r>
    </w:p>
    <w:p w:rsidR="00000000" w:rsidRDefault="00031F6C">
      <w:pPr>
        <w:jc w:val="both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>- на обеспечение деятельности МКУ «Центр обслуживания учреждений культуры и спорта» в сумме 1 442 585,56 рублей.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lastRenderedPageBreak/>
        <w:t> </w:t>
      </w:r>
      <w:r>
        <w:rPr>
          <w:color w:val="000000"/>
          <w:sz w:val="28"/>
          <w:szCs w:val="28"/>
        </w:rPr>
        <w:t xml:space="preserve">Расходы по </w:t>
      </w:r>
      <w:r>
        <w:rPr>
          <w:b/>
          <w:bCs/>
          <w:color w:val="000000"/>
          <w:sz w:val="28"/>
          <w:szCs w:val="28"/>
        </w:rPr>
        <w:t>разделу 1000 «Социальная политика»</w:t>
      </w:r>
      <w:r>
        <w:rPr>
          <w:color w:val="000000"/>
          <w:sz w:val="28"/>
          <w:szCs w:val="28"/>
        </w:rPr>
        <w:t xml:space="preserve"> при плане 141491872,30  рублей, исполнены в сумме 27 707 730,63 рублей, что составляет 19,6 % пл</w:t>
      </w:r>
      <w:r>
        <w:rPr>
          <w:color w:val="000000"/>
          <w:sz w:val="28"/>
          <w:szCs w:val="28"/>
        </w:rPr>
        <w:t xml:space="preserve">ановых назначений. 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подразделу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lang w:val="en-US"/>
        </w:rPr>
        <w:t> </w:t>
      </w:r>
      <w:r>
        <w:rPr>
          <w:b/>
          <w:bCs/>
          <w:color w:val="000000"/>
          <w:sz w:val="28"/>
          <w:szCs w:val="28"/>
        </w:rPr>
        <w:t>1001</w:t>
      </w:r>
      <w:r>
        <w:rPr>
          <w:color w:val="000000"/>
          <w:sz w:val="28"/>
          <w:szCs w:val="28"/>
        </w:rPr>
        <w:t xml:space="preserve"> «Пенсионное обеспечение» при плане 5 332 619,00 рублей, расходы составили 1 229 207,73 рублей. </w:t>
      </w:r>
    </w:p>
    <w:p w:rsidR="00000000" w:rsidRDefault="00031F6C">
      <w:pPr>
        <w:ind w:firstLine="700"/>
        <w:jc w:val="both"/>
        <w:rPr>
          <w:rFonts w:eastAsia="Times New Roman" w:cs="Calibri"/>
          <w:color w:val="000000"/>
          <w:sz w:val="28"/>
          <w:szCs w:val="20"/>
        </w:rPr>
      </w:pPr>
      <w:r>
        <w:rPr>
          <w:b/>
          <w:color w:val="000000"/>
          <w:sz w:val="28"/>
          <w:szCs w:val="28"/>
        </w:rPr>
        <w:t>По подразделу 1003</w:t>
      </w:r>
      <w:r>
        <w:rPr>
          <w:color w:val="000000"/>
          <w:sz w:val="28"/>
          <w:szCs w:val="28"/>
        </w:rPr>
        <w:t xml:space="preserve"> «Социальное обеспечение населения» при плане 33 184 439,40 рублей, расходы составили 16 644 734,97 ру</w:t>
      </w:r>
      <w:r>
        <w:rPr>
          <w:color w:val="000000"/>
          <w:sz w:val="28"/>
          <w:szCs w:val="28"/>
        </w:rPr>
        <w:t>блей.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подразделу</w:t>
      </w:r>
      <w:r>
        <w:rPr>
          <w:b/>
          <w:bCs/>
          <w:color w:val="000000"/>
          <w:sz w:val="28"/>
          <w:szCs w:val="28"/>
        </w:rPr>
        <w:t xml:space="preserve"> 1004</w:t>
      </w:r>
      <w:r>
        <w:rPr>
          <w:color w:val="000000"/>
          <w:sz w:val="28"/>
          <w:szCs w:val="28"/>
        </w:rPr>
        <w:t xml:space="preserve"> «Охрана семьи и детства»</w:t>
      </w:r>
      <w:r>
        <w:rPr>
          <w:color w:val="000000"/>
          <w:sz w:val="32"/>
          <w:szCs w:val="32"/>
        </w:rPr>
        <w:t xml:space="preserve"> </w:t>
      </w:r>
      <w:r>
        <w:rPr>
          <w:color w:val="000000"/>
          <w:sz w:val="28"/>
          <w:szCs w:val="28"/>
        </w:rPr>
        <w:t>при</w:t>
      </w:r>
      <w:r>
        <w:rPr>
          <w:color w:val="000000"/>
          <w:sz w:val="32"/>
          <w:szCs w:val="32"/>
        </w:rPr>
        <w:t xml:space="preserve"> </w:t>
      </w:r>
      <w:r>
        <w:rPr>
          <w:color w:val="000000"/>
          <w:sz w:val="28"/>
          <w:szCs w:val="28"/>
        </w:rPr>
        <w:t>плане 102 874 813,90 рублей, расходы составили  9 833 787,93 рублей, что составляет 9,6%.  По данному подразделу осуществлялись расходы за счет средств межбюджетных трансфертов, предоставляемых из облас</w:t>
      </w:r>
      <w:r>
        <w:rPr>
          <w:color w:val="000000"/>
          <w:sz w:val="28"/>
          <w:szCs w:val="28"/>
        </w:rPr>
        <w:t>тного бюджета:</w:t>
      </w:r>
    </w:p>
    <w:p w:rsidR="00000000" w:rsidRDefault="00031F6C">
      <w:pPr>
        <w:ind w:firstLine="700"/>
        <w:jc w:val="both"/>
        <w:rPr>
          <w:rFonts w:eastAsia="Times New Roman"/>
          <w:color w:val="000000"/>
          <w:sz w:val="28"/>
          <w:szCs w:val="20"/>
        </w:rPr>
      </w:pPr>
      <w:r>
        <w:rPr>
          <w:color w:val="000000"/>
          <w:sz w:val="28"/>
          <w:szCs w:val="28"/>
        </w:rPr>
        <w:t xml:space="preserve">  </w:t>
      </w:r>
      <w:r>
        <w:rPr>
          <w:rFonts w:eastAsia="Times New Roman"/>
          <w:color w:val="000000"/>
          <w:sz w:val="28"/>
          <w:szCs w:val="20"/>
        </w:rPr>
        <w:t xml:space="preserve">на выплату приемной семье на содержание подопечных детей расходы составили 591 630,00 рублей; </w:t>
      </w:r>
    </w:p>
    <w:p w:rsidR="00000000" w:rsidRDefault="00031F6C">
      <w:pPr>
        <w:jc w:val="both"/>
        <w:rPr>
          <w:rFonts w:eastAsia="Times New Roman"/>
          <w:color w:val="000000"/>
          <w:sz w:val="28"/>
          <w:szCs w:val="20"/>
        </w:rPr>
      </w:pPr>
      <w:r>
        <w:rPr>
          <w:rFonts w:eastAsia="Times New Roman"/>
          <w:color w:val="000000"/>
          <w:sz w:val="28"/>
          <w:szCs w:val="20"/>
        </w:rPr>
        <w:t xml:space="preserve">           на выплату вознаграждения приемным родителям расходы составили 981 876,36 рублей;</w:t>
      </w:r>
    </w:p>
    <w:p w:rsidR="00000000" w:rsidRDefault="00031F6C">
      <w:pPr>
        <w:jc w:val="both"/>
        <w:rPr>
          <w:rFonts w:eastAsia="Times New Roman"/>
          <w:color w:val="000000"/>
          <w:sz w:val="28"/>
          <w:szCs w:val="20"/>
        </w:rPr>
      </w:pPr>
      <w:r>
        <w:rPr>
          <w:rFonts w:eastAsia="Times New Roman"/>
          <w:color w:val="000000"/>
          <w:sz w:val="28"/>
          <w:szCs w:val="20"/>
        </w:rPr>
        <w:t xml:space="preserve">           на выплату семьям опекунов на содержание</w:t>
      </w:r>
      <w:r>
        <w:rPr>
          <w:rFonts w:eastAsia="Times New Roman"/>
          <w:color w:val="000000"/>
          <w:sz w:val="28"/>
          <w:szCs w:val="20"/>
        </w:rPr>
        <w:t xml:space="preserve"> подопечных детей расходы составили 960 751,00 рублей;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rFonts w:eastAsia="Times New Roman" w:cs="Calibri"/>
          <w:color w:val="000000"/>
          <w:sz w:val="28"/>
          <w:szCs w:val="20"/>
        </w:rPr>
        <w:t xml:space="preserve">           на выплату</w:t>
      </w:r>
      <w:r>
        <w:rPr>
          <w:color w:val="000000"/>
          <w:sz w:val="28"/>
          <w:szCs w:val="28"/>
        </w:rPr>
        <w:t xml:space="preserve"> компенсации части родительской платы за содержание ребенка в образовательных учреждениях, реализующих основную общеобразовательную программу дошкольного образования расходы состав</w:t>
      </w:r>
      <w:r>
        <w:rPr>
          <w:color w:val="000000"/>
          <w:sz w:val="28"/>
          <w:szCs w:val="28"/>
        </w:rPr>
        <w:t xml:space="preserve">или 589 212,87 рублей; 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         </w:t>
      </w:r>
      <w:r w:rsidRPr="00031F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обеспечение сохранности жилых помещений, закрепленных за детьми-сиротами и детьми, оставшимися без попечения родителей </w:t>
      </w:r>
      <w:proofErr w:type="gramStart"/>
      <w:r>
        <w:rPr>
          <w:color w:val="000000"/>
          <w:sz w:val="28"/>
          <w:szCs w:val="28"/>
        </w:rPr>
        <w:t>расходы</w:t>
      </w:r>
      <w:proofErr w:type="gramEnd"/>
      <w:r>
        <w:rPr>
          <w:color w:val="000000"/>
          <w:sz w:val="28"/>
          <w:szCs w:val="28"/>
        </w:rPr>
        <w:t xml:space="preserve"> составили 14 000,00 рублей;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на реализацию </w:t>
      </w:r>
      <w:r>
        <w:rPr>
          <w:color w:val="000000"/>
          <w:sz w:val="28"/>
          <w:szCs w:val="28"/>
        </w:rPr>
        <w:t>мероприятий по обеспечению жильем молодых семей расходы составили 1 490 699,70 рублей (субсидия предоставлена 1 молодой семье);</w:t>
      </w:r>
    </w:p>
    <w:p w:rsidR="00000000" w:rsidRDefault="00031F6C">
      <w:pPr>
        <w:jc w:val="both"/>
        <w:rPr>
          <w:color w:val="000000"/>
          <w:sz w:val="18"/>
          <w:szCs w:val="18"/>
        </w:rPr>
      </w:pPr>
      <w:r>
        <w:rPr>
          <w:color w:val="000000"/>
          <w:sz w:val="28"/>
          <w:szCs w:val="28"/>
        </w:rPr>
        <w:t xml:space="preserve">           на предоставление жилых помещений детям – сиротам и детям, оставшимся без попечения родителей </w:t>
      </w:r>
      <w:proofErr w:type="gramStart"/>
      <w:r>
        <w:rPr>
          <w:color w:val="000000"/>
          <w:sz w:val="28"/>
          <w:szCs w:val="28"/>
        </w:rPr>
        <w:t>расходы</w:t>
      </w:r>
      <w:proofErr w:type="gramEnd"/>
      <w:r>
        <w:rPr>
          <w:color w:val="000000"/>
          <w:sz w:val="28"/>
          <w:szCs w:val="28"/>
        </w:rPr>
        <w:t xml:space="preserve"> составили 5 205</w:t>
      </w:r>
      <w:r>
        <w:rPr>
          <w:color w:val="000000"/>
          <w:sz w:val="28"/>
          <w:szCs w:val="28"/>
        </w:rPr>
        <w:t xml:space="preserve"> 618,00 рублей выдано 2 сертификата) </w:t>
      </w:r>
    </w:p>
    <w:p w:rsidR="00000000" w:rsidRDefault="00031F6C">
      <w:pPr>
        <w:jc w:val="both"/>
        <w:rPr>
          <w:color w:val="000000"/>
          <w:sz w:val="18"/>
          <w:szCs w:val="18"/>
        </w:rPr>
      </w:pP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подразделу</w:t>
      </w:r>
      <w:r>
        <w:rPr>
          <w:b/>
          <w:bCs/>
          <w:color w:val="000000"/>
          <w:sz w:val="28"/>
          <w:szCs w:val="28"/>
        </w:rPr>
        <w:t xml:space="preserve"> 1006</w:t>
      </w:r>
      <w:r>
        <w:rPr>
          <w:color w:val="000000"/>
          <w:sz w:val="28"/>
          <w:szCs w:val="28"/>
        </w:rPr>
        <w:t xml:space="preserve"> «Другие вопросы в области социальной политики» при плане 100 000,00 рублей, расходы составили 00,00 рублей. 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Расходы </w:t>
      </w:r>
      <w:r>
        <w:rPr>
          <w:b/>
          <w:color w:val="000000"/>
          <w:sz w:val="28"/>
          <w:szCs w:val="28"/>
        </w:rPr>
        <w:t>по разделу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1100 «Физическая культура и спорт» </w:t>
      </w:r>
      <w:r>
        <w:rPr>
          <w:color w:val="000000"/>
          <w:sz w:val="28"/>
          <w:szCs w:val="28"/>
        </w:rPr>
        <w:t>при плане 247 812 791,38 рублей, и</w:t>
      </w:r>
      <w:r>
        <w:rPr>
          <w:color w:val="000000"/>
          <w:sz w:val="28"/>
          <w:szCs w:val="28"/>
        </w:rPr>
        <w:t xml:space="preserve">сполнены в сумме 11 902 674,65 рублей, что составляет 4,8% плановых назначений. </w:t>
      </w:r>
    </w:p>
    <w:p w:rsidR="00000000" w:rsidRDefault="00031F6C">
      <w:pPr>
        <w:ind w:firstLine="70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подразделу</w:t>
      </w:r>
      <w:r>
        <w:rPr>
          <w:b/>
          <w:bCs/>
          <w:color w:val="000000"/>
          <w:sz w:val="28"/>
          <w:szCs w:val="28"/>
        </w:rPr>
        <w:t xml:space="preserve"> 1101</w:t>
      </w:r>
      <w:r>
        <w:rPr>
          <w:color w:val="000000"/>
          <w:sz w:val="28"/>
          <w:szCs w:val="28"/>
        </w:rPr>
        <w:t xml:space="preserve"> «Физическая культура»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при плане 147 650 рублей, расходы бюджета составили 0,00рублей.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>
        <w:rPr>
          <w:b/>
          <w:color w:val="000000"/>
          <w:sz w:val="28"/>
          <w:szCs w:val="28"/>
        </w:rPr>
        <w:t>По подразделу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1102</w:t>
      </w:r>
      <w:r>
        <w:rPr>
          <w:color w:val="000000"/>
          <w:sz w:val="28"/>
          <w:szCs w:val="28"/>
        </w:rPr>
        <w:t xml:space="preserve"> «Массовый спорт» при плане 231 330 968,5</w:t>
      </w:r>
      <w:r>
        <w:rPr>
          <w:color w:val="000000"/>
          <w:sz w:val="28"/>
          <w:szCs w:val="28"/>
        </w:rPr>
        <w:t xml:space="preserve">7 рублей, расходы бюджета составили 8 907 172,28 рублей </w:t>
      </w:r>
      <w:proofErr w:type="gramStart"/>
      <w:r>
        <w:rPr>
          <w:color w:val="000000"/>
          <w:sz w:val="28"/>
          <w:szCs w:val="28"/>
        </w:rPr>
        <w:t>( содержание</w:t>
      </w:r>
      <w:proofErr w:type="gramEnd"/>
      <w:r>
        <w:rPr>
          <w:color w:val="000000"/>
          <w:sz w:val="28"/>
          <w:szCs w:val="28"/>
        </w:rPr>
        <w:t xml:space="preserve"> МАУ "Спортивный комплекс "Стародуб" ).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>
        <w:rPr>
          <w:b/>
          <w:color w:val="000000"/>
          <w:sz w:val="28"/>
          <w:szCs w:val="28"/>
        </w:rPr>
        <w:t>По подразделу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1103</w:t>
      </w:r>
      <w:r>
        <w:rPr>
          <w:color w:val="000000"/>
          <w:sz w:val="28"/>
          <w:szCs w:val="28"/>
        </w:rPr>
        <w:t xml:space="preserve"> «Спорт высших достижений» при плане 16 334 172,81 рубль, расходы составили 2 995 </w:t>
      </w:r>
      <w:r>
        <w:rPr>
          <w:color w:val="000000"/>
          <w:sz w:val="28"/>
          <w:szCs w:val="28"/>
        </w:rPr>
        <w:t>502,37 рублей (содержание детской юношеской спортивной школы).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По разделу </w:t>
      </w:r>
      <w:r>
        <w:rPr>
          <w:b/>
          <w:color w:val="000000"/>
          <w:sz w:val="28"/>
          <w:szCs w:val="28"/>
        </w:rPr>
        <w:t>1300 «Обслуживание государственного (муниципального) долга»</w:t>
      </w:r>
      <w:r>
        <w:rPr>
          <w:color w:val="000000"/>
          <w:sz w:val="28"/>
          <w:szCs w:val="28"/>
        </w:rPr>
        <w:t xml:space="preserve">, подразделу </w:t>
      </w:r>
      <w:r>
        <w:rPr>
          <w:b/>
          <w:color w:val="000000"/>
          <w:sz w:val="28"/>
          <w:szCs w:val="28"/>
        </w:rPr>
        <w:t>1301</w:t>
      </w:r>
      <w:r>
        <w:rPr>
          <w:color w:val="000000"/>
          <w:sz w:val="28"/>
          <w:szCs w:val="28"/>
        </w:rPr>
        <w:t xml:space="preserve"> «Обслуживание государственного (муниципального) долга» при плане 20 340,72 рублей, расходы сост</w:t>
      </w:r>
      <w:r>
        <w:rPr>
          <w:color w:val="000000"/>
          <w:sz w:val="28"/>
          <w:szCs w:val="28"/>
        </w:rPr>
        <w:t>авили 0,00 рублей.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000000" w:rsidRDefault="00031F6C">
      <w:pPr>
        <w:jc w:val="both"/>
        <w:rPr>
          <w:rFonts w:eastAsia="Times New Roman"/>
          <w:color w:val="000000"/>
          <w:sz w:val="28"/>
        </w:rPr>
      </w:pPr>
      <w:r>
        <w:rPr>
          <w:color w:val="000000"/>
          <w:sz w:val="28"/>
          <w:szCs w:val="28"/>
        </w:rPr>
        <w:t xml:space="preserve">          </w:t>
      </w:r>
      <w:r>
        <w:rPr>
          <w:rFonts w:eastAsia="Times New Roman"/>
          <w:color w:val="000000"/>
          <w:sz w:val="28"/>
        </w:rPr>
        <w:t xml:space="preserve">Общий объем расходов, утвержденный решением о бюджете   по состоянию на 01.04.2025 </w:t>
      </w:r>
      <w:proofErr w:type="gramStart"/>
      <w:r>
        <w:rPr>
          <w:rFonts w:eastAsia="Times New Roman"/>
          <w:color w:val="000000"/>
          <w:sz w:val="28"/>
        </w:rPr>
        <w:t>года</w:t>
      </w:r>
      <w:proofErr w:type="gramEnd"/>
      <w:r>
        <w:rPr>
          <w:rFonts w:eastAsia="Times New Roman"/>
          <w:color w:val="000000"/>
          <w:sz w:val="28"/>
        </w:rPr>
        <w:t xml:space="preserve"> составляет 1 588 745 758,11 рублей. Общий объем расходов, утвержденный сводной бюджетной росписью составляет 1 607 956 182,18 рублей. От</w:t>
      </w:r>
      <w:r>
        <w:rPr>
          <w:rFonts w:eastAsia="Times New Roman"/>
          <w:color w:val="000000"/>
          <w:sz w:val="28"/>
        </w:rPr>
        <w:t xml:space="preserve">клонение назначений сводной бюджетной росписи от утвержденных решением о бюджете составляет 19 210 424,07 рублей. Согласно Уведомлений о предоставлении субсидии, субвенции, иного межбюджетного трансферта, имеющего целевое назначение на 2025 год и плановый </w:t>
      </w:r>
      <w:r>
        <w:rPr>
          <w:rFonts w:eastAsia="Times New Roman"/>
          <w:color w:val="000000"/>
          <w:sz w:val="28"/>
        </w:rPr>
        <w:t>период 2026 и 2027 годов внесены изменения в назначения сводной бюджетной росписи: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на реализацию инициативных проектов </w:t>
      </w:r>
      <w:proofErr w:type="gramStart"/>
      <w:r>
        <w:rPr>
          <w:color w:val="000000"/>
          <w:sz w:val="28"/>
          <w:szCs w:val="28"/>
        </w:rPr>
        <w:t>согласно уведомления</w:t>
      </w:r>
      <w:proofErr w:type="gramEnd"/>
      <w:r>
        <w:rPr>
          <w:color w:val="000000"/>
          <w:sz w:val="28"/>
          <w:szCs w:val="28"/>
        </w:rPr>
        <w:t xml:space="preserve"> департамента внутренней политики Брянской области в сумме 14 092 650,00 рублей;  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на резервный фонд </w:t>
      </w:r>
      <w:r>
        <w:rPr>
          <w:color w:val="000000"/>
          <w:sz w:val="28"/>
          <w:szCs w:val="28"/>
        </w:rPr>
        <w:t xml:space="preserve">Правительства Брянской области согласно уведомлений департамента региональной безопасности Брянской области в сумме 5 117 774,07 рублей.       </w:t>
      </w:r>
    </w:p>
    <w:p w:rsidR="00000000" w:rsidRDefault="00031F6C">
      <w:pPr>
        <w:jc w:val="both"/>
        <w:rPr>
          <w:rFonts w:eastAsia="Times New Roman"/>
        </w:rPr>
      </w:pPr>
      <w:r>
        <w:rPr>
          <w:color w:val="000000"/>
          <w:sz w:val="28"/>
          <w:szCs w:val="28"/>
        </w:rPr>
        <w:t xml:space="preserve">          </w:t>
      </w:r>
    </w:p>
    <w:p w:rsidR="00000000" w:rsidRDefault="00031F6C">
      <w:pPr>
        <w:ind w:right="57"/>
        <w:jc w:val="both"/>
        <w:rPr>
          <w:color w:val="000000"/>
          <w:sz w:val="28"/>
          <w:szCs w:val="28"/>
        </w:rPr>
      </w:pPr>
    </w:p>
    <w:p w:rsidR="00000000" w:rsidRDefault="00031F6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РАЗДЕЛ 4. «АНАЛИЗ ПОКАЗАТЕЛЕЙ ФИНАНСОВОЙ ОТЧЕТНОСТИ СУБЪЕКТА БЮДЖЕТНОЙ ОТЧЕТНОСТИ»</w:t>
      </w:r>
    </w:p>
    <w:p w:rsidR="00000000" w:rsidRDefault="00031F6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Форма 0503169 «</w:t>
      </w:r>
      <w:r>
        <w:rPr>
          <w:color w:val="000000"/>
          <w:sz w:val="28"/>
          <w:szCs w:val="28"/>
        </w:rPr>
        <w:t>Бюджетная деятельность, дебиторская задолженность»</w:t>
      </w:r>
      <w:r>
        <w:rPr>
          <w:color w:val="000000"/>
          <w:sz w:val="28"/>
          <w:szCs w:val="28"/>
          <w:lang w:val="en-US"/>
        </w:rPr>
        <w:t> </w:t>
      </w:r>
    </w:p>
    <w:p w:rsidR="00000000" w:rsidRDefault="00031F6C">
      <w:pPr>
        <w:spacing w:line="360" w:lineRule="auto"/>
        <w:ind w:right="5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Общая сумма дебиторской  задолженности по состоянию на 01.04.2025 года составляет 2 368 479 243,97 рубля, в том числе сумма просроченной 243 811,51 рублей их них:</w:t>
      </w:r>
    </w:p>
    <w:p w:rsidR="00000000" w:rsidRDefault="00031F6C">
      <w:pPr>
        <w:spacing w:line="360" w:lineRule="auto"/>
        <w:ind w:right="5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МУП «Стародубский лесхоз» по аренде зе</w:t>
      </w:r>
      <w:r>
        <w:rPr>
          <w:color w:val="000000"/>
          <w:sz w:val="28"/>
          <w:szCs w:val="28"/>
        </w:rPr>
        <w:t xml:space="preserve">мельного участка в сумме 243 811,58 рублей. </w:t>
      </w:r>
    </w:p>
    <w:p w:rsidR="00000000" w:rsidRDefault="00031F6C">
      <w:pPr>
        <w:spacing w:line="360" w:lineRule="auto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Форма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0503169 «Бюджетная деятельность, кредиторская задолженность»  общая сумма кредиторской задолженности  по состоянию на 01.04.2025 года составляет  16 604 319,93 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рублей. Просроченной кредиторской з</w:t>
      </w:r>
      <w:r>
        <w:rPr>
          <w:color w:val="000000"/>
          <w:sz w:val="28"/>
          <w:szCs w:val="28"/>
        </w:rPr>
        <w:t>адолженности нет.</w:t>
      </w:r>
    </w:p>
    <w:p w:rsidR="00000000" w:rsidRDefault="00031F6C">
      <w:pPr>
        <w:spacing w:line="360" w:lineRule="auto"/>
        <w:ind w:right="5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РАЗДЕЛ 5. «ПРОЧИЕ ВОПРОСЫ ДЕЯТЕЛЬНОСТИ СУБЪЕКТА </w:t>
      </w:r>
      <w:r>
        <w:rPr>
          <w:b/>
          <w:bCs/>
          <w:color w:val="000000"/>
          <w:sz w:val="28"/>
          <w:szCs w:val="28"/>
          <w:lang w:val="en-US"/>
        </w:rPr>
        <w:t>  </w:t>
      </w:r>
      <w:r>
        <w:rPr>
          <w:b/>
          <w:bCs/>
          <w:color w:val="000000"/>
          <w:sz w:val="28"/>
          <w:szCs w:val="28"/>
        </w:rPr>
        <w:t>БЮДЖЕТНОЙ ОТЧЕТНОСТИ»</w:t>
      </w:r>
    </w:p>
    <w:p w:rsidR="00000000" w:rsidRDefault="00031F6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 0503296 «Сведения об исполнении судебных решений по денежным обязательствам бюджета».</w:t>
      </w:r>
    </w:p>
    <w:p w:rsidR="00000000" w:rsidRDefault="00031F6C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Сведения об исполнении поступивших исполнительных листов админи</w:t>
      </w:r>
      <w:r>
        <w:rPr>
          <w:color w:val="000000"/>
          <w:sz w:val="28"/>
          <w:szCs w:val="28"/>
        </w:rPr>
        <w:t>страции Стародубского муниципального округа Брянской области. За 3 месяца 2024 года поступило 2 исполнительных листа:</w:t>
      </w:r>
    </w:p>
    <w:p w:rsidR="00000000" w:rsidRDefault="00031F6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1 исполнительный лист – % за пользование чужими средствами:</w:t>
      </w:r>
    </w:p>
    <w:p w:rsidR="00000000" w:rsidRDefault="00031F6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- 1 исполнительный лист - АОО «Чистая планета» - госпошлина по исполнительн</w:t>
      </w:r>
      <w:r>
        <w:rPr>
          <w:color w:val="000000"/>
          <w:sz w:val="28"/>
          <w:szCs w:val="28"/>
        </w:rPr>
        <w:t>ым листам. По состоянию на 01.04.2023 года задолженность составляет 30 559 81 рублей.</w:t>
      </w:r>
    </w:p>
    <w:p w:rsidR="00000000" w:rsidRDefault="00031F6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 0503296 прилагается.</w:t>
      </w:r>
    </w:p>
    <w:p w:rsidR="00000000" w:rsidRDefault="00031F6C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В связи с отсутствием числовых показателей в составе отчетности за 1 квартал 2024 года следующие формы не предоставляются:</w:t>
      </w:r>
    </w:p>
    <w:p w:rsidR="00000000" w:rsidRDefault="00031F6C">
      <w:pPr>
        <w:spacing w:line="207" w:lineRule="atLeast"/>
        <w:jc w:val="both"/>
        <w:rPr>
          <w:sz w:val="28"/>
          <w:szCs w:val="28"/>
        </w:rPr>
      </w:pPr>
    </w:p>
    <w:p w:rsidR="00000000" w:rsidRDefault="00031F6C">
      <w:pPr>
        <w:spacing w:line="207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Форма  </w:t>
      </w:r>
      <w:r>
        <w:rPr>
          <w:sz w:val="28"/>
          <w:szCs w:val="28"/>
        </w:rPr>
        <w:t>0503184 Справка  о суммах консолидированных поступлений, подлежащих зачислению на счета бюджета.</w:t>
      </w:r>
    </w:p>
    <w:p w:rsidR="00000000" w:rsidRDefault="00031F6C">
      <w:pPr>
        <w:spacing w:line="207" w:lineRule="atLeast"/>
        <w:jc w:val="both"/>
        <w:rPr>
          <w:sz w:val="28"/>
          <w:szCs w:val="28"/>
        </w:rPr>
      </w:pPr>
    </w:p>
    <w:p w:rsidR="00000000" w:rsidRDefault="00031F6C">
      <w:pPr>
        <w:spacing w:line="207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Форма  0503173 Сведения об изменении остатков валюты баланса.  </w:t>
      </w:r>
    </w:p>
    <w:p w:rsidR="00000000" w:rsidRDefault="00031F6C">
      <w:pPr>
        <w:spacing w:line="207" w:lineRule="atLeast"/>
        <w:jc w:val="both"/>
        <w:rPr>
          <w:sz w:val="28"/>
          <w:szCs w:val="28"/>
        </w:rPr>
      </w:pPr>
    </w:p>
    <w:p w:rsidR="00000000" w:rsidRDefault="00031F6C">
      <w:pPr>
        <w:jc w:val="both"/>
        <w:rPr>
          <w:color w:val="000000"/>
          <w:sz w:val="18"/>
        </w:rPr>
      </w:pPr>
    </w:p>
    <w:p w:rsidR="00000000" w:rsidRDefault="00031F6C">
      <w:pPr>
        <w:ind w:firstLine="700"/>
        <w:jc w:val="both"/>
        <w:rPr>
          <w:color w:val="000000"/>
          <w:sz w:val="18"/>
        </w:rPr>
      </w:pPr>
      <w:r>
        <w:rPr>
          <w:color w:val="000000"/>
          <w:sz w:val="28"/>
        </w:rPr>
        <w:t> </w:t>
      </w:r>
    </w:p>
    <w:tbl>
      <w:tblPr>
        <w:tblW w:w="0" w:type="auto"/>
        <w:tblInd w:w="96" w:type="dxa"/>
        <w:tblLook w:val="04A0" w:firstRow="1" w:lastRow="0" w:firstColumn="1" w:lastColumn="0" w:noHBand="0" w:noVBand="1"/>
      </w:tblPr>
      <w:tblGrid>
        <w:gridCol w:w="2520"/>
        <w:gridCol w:w="1387"/>
        <w:gridCol w:w="5298"/>
      </w:tblGrid>
      <w:tr w:rsidR="00000000">
        <w:trPr>
          <w:trHeight w:val="405"/>
        </w:trPr>
        <w:tc>
          <w:tcPr>
            <w:tcW w:w="0" w:type="auto"/>
            <w:vAlign w:val="center"/>
            <w:hideMark/>
          </w:tcPr>
          <w:p w:rsidR="00000000" w:rsidRDefault="00031F6C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Руководитель        </w:t>
            </w:r>
            <w:r>
              <w:rPr>
                <w:color w:val="000000"/>
                <w:sz w:val="28"/>
                <w:szCs w:val="28"/>
              </w:rPr>
              <w:softHyphen/>
            </w:r>
            <w:r>
              <w:rPr>
                <w:color w:val="000000"/>
                <w:sz w:val="28"/>
                <w:szCs w:val="28"/>
              </w:rPr>
              <w:softHyphen/>
            </w:r>
            <w:r>
              <w:rPr>
                <w:color w:val="000000"/>
                <w:sz w:val="28"/>
                <w:szCs w:val="28"/>
              </w:rPr>
              <w:softHyphen/>
            </w:r>
            <w:r>
              <w:rPr>
                <w:color w:val="000000"/>
                <w:sz w:val="28"/>
                <w:szCs w:val="28"/>
              </w:rPr>
              <w:softHyphen/>
            </w:r>
            <w:r>
              <w:rPr>
                <w:color w:val="000000"/>
                <w:sz w:val="28"/>
                <w:szCs w:val="28"/>
              </w:rPr>
              <w:softHyphen/>
            </w:r>
            <w:r>
              <w:rPr>
                <w:color w:val="000000"/>
                <w:sz w:val="28"/>
                <w:szCs w:val="28"/>
              </w:rPr>
              <w:softHyphen/>
            </w:r>
            <w:r>
              <w:rPr>
                <w:color w:val="000000"/>
                <w:sz w:val="28"/>
                <w:szCs w:val="28"/>
              </w:rPr>
              <w:softHyphen/>
            </w:r>
            <w:r>
              <w:rPr>
                <w:color w:val="000000"/>
                <w:sz w:val="28"/>
                <w:szCs w:val="28"/>
              </w:rPr>
              <w:softHyphen/>
            </w:r>
            <w:r>
              <w:rPr>
                <w:color w:val="000000"/>
                <w:sz w:val="28"/>
                <w:szCs w:val="28"/>
              </w:rPr>
              <w:softHyphen/>
            </w:r>
          </w:p>
        </w:tc>
        <w:tc>
          <w:tcPr>
            <w:tcW w:w="0" w:type="auto"/>
            <w:vAlign w:val="center"/>
            <w:hideMark/>
          </w:tcPr>
          <w:p w:rsidR="00000000" w:rsidRDefault="00031F6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031F6C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Приходько Алла Викторовна</w:t>
            </w:r>
          </w:p>
        </w:tc>
      </w:tr>
      <w:tr w:rsidR="00000000">
        <w:trPr>
          <w:trHeight w:val="281"/>
        </w:trPr>
        <w:tc>
          <w:tcPr>
            <w:tcW w:w="0" w:type="auto"/>
            <w:vAlign w:val="center"/>
            <w:hideMark/>
          </w:tcPr>
          <w:p w:rsidR="00000000" w:rsidRDefault="00031F6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031F6C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(подпись)</w:t>
            </w:r>
          </w:p>
        </w:tc>
        <w:tc>
          <w:tcPr>
            <w:tcW w:w="0" w:type="auto"/>
            <w:vAlign w:val="center"/>
          </w:tcPr>
          <w:p w:rsidR="00000000" w:rsidRDefault="00031F6C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00000">
        <w:trPr>
          <w:trHeight w:val="281"/>
        </w:trPr>
        <w:tc>
          <w:tcPr>
            <w:tcW w:w="0" w:type="auto"/>
            <w:vAlign w:val="center"/>
          </w:tcPr>
          <w:p w:rsidR="00000000" w:rsidRDefault="00031F6C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00000" w:rsidRDefault="00031F6C">
            <w:pPr>
              <w:spacing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00000" w:rsidRDefault="00031F6C">
            <w:pPr>
              <w:spacing w:after="100" w:afterAutospacing="1"/>
              <w:jc w:val="both"/>
              <w:rPr>
                <w:sz w:val="28"/>
                <w:szCs w:val="28"/>
              </w:rPr>
            </w:pPr>
          </w:p>
        </w:tc>
      </w:tr>
      <w:tr w:rsidR="00000000">
        <w:trPr>
          <w:trHeight w:val="281"/>
        </w:trPr>
        <w:tc>
          <w:tcPr>
            <w:tcW w:w="0" w:type="auto"/>
            <w:vAlign w:val="center"/>
          </w:tcPr>
          <w:p w:rsidR="00000000" w:rsidRDefault="00031F6C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00000" w:rsidRDefault="00031F6C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00000" w:rsidRDefault="00031F6C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00000">
        <w:trPr>
          <w:trHeight w:val="281"/>
        </w:trPr>
        <w:tc>
          <w:tcPr>
            <w:tcW w:w="0" w:type="auto"/>
            <w:gridSpan w:val="3"/>
            <w:noWrap/>
            <w:vAlign w:val="bottom"/>
            <w:hideMark/>
          </w:tcPr>
          <w:p w:rsidR="00000000" w:rsidRDefault="00031F6C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000000">
        <w:trPr>
          <w:trHeight w:val="405"/>
        </w:trPr>
        <w:tc>
          <w:tcPr>
            <w:tcW w:w="0" w:type="auto"/>
            <w:vAlign w:val="center"/>
            <w:hideMark/>
          </w:tcPr>
          <w:p w:rsidR="00000000" w:rsidRDefault="00031F6C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бухгалтер</w:t>
            </w:r>
          </w:p>
        </w:tc>
        <w:tc>
          <w:tcPr>
            <w:tcW w:w="0" w:type="auto"/>
            <w:vAlign w:val="center"/>
            <w:hideMark/>
          </w:tcPr>
          <w:p w:rsidR="00000000" w:rsidRDefault="00031F6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031F6C">
            <w:pPr>
              <w:spacing w:after="100" w:afterAutospacing="1" w:line="207" w:lineRule="atLeast"/>
              <w:jc w:val="both"/>
              <w:rPr>
                <w:color w:val="000000"/>
                <w:sz w:val="28"/>
                <w:szCs w:val="28"/>
                <w:u w:val="single"/>
              </w:rPr>
            </w:pPr>
            <w:r>
              <w:rPr>
                <w:color w:val="000000"/>
                <w:sz w:val="28"/>
                <w:szCs w:val="28"/>
              </w:rPr>
              <w:t xml:space="preserve">         </w:t>
            </w:r>
            <w:proofErr w:type="spellStart"/>
            <w:r>
              <w:rPr>
                <w:color w:val="000000"/>
                <w:sz w:val="28"/>
                <w:szCs w:val="28"/>
              </w:rPr>
              <w:t>Дебольская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Светлана Александровна                           </w:t>
            </w:r>
          </w:p>
        </w:tc>
      </w:tr>
      <w:tr w:rsidR="00000000">
        <w:trPr>
          <w:trHeight w:val="281"/>
        </w:trPr>
        <w:tc>
          <w:tcPr>
            <w:tcW w:w="0" w:type="auto"/>
            <w:vAlign w:val="center"/>
            <w:hideMark/>
          </w:tcPr>
          <w:p w:rsidR="00000000" w:rsidRDefault="00031F6C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031F6C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(подпись)</w:t>
            </w:r>
          </w:p>
        </w:tc>
        <w:tc>
          <w:tcPr>
            <w:tcW w:w="0" w:type="auto"/>
            <w:vAlign w:val="center"/>
            <w:hideMark/>
          </w:tcPr>
          <w:p w:rsidR="00000000" w:rsidRDefault="00031F6C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</w:t>
            </w:r>
          </w:p>
        </w:tc>
      </w:tr>
      <w:tr w:rsidR="00000000">
        <w:trPr>
          <w:trHeight w:val="281"/>
        </w:trPr>
        <w:tc>
          <w:tcPr>
            <w:tcW w:w="0" w:type="auto"/>
            <w:gridSpan w:val="3"/>
            <w:vAlign w:val="center"/>
            <w:hideMark/>
          </w:tcPr>
          <w:p w:rsidR="00000000" w:rsidRDefault="00031F6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"01"   Апреля     2024г.</w:t>
            </w:r>
          </w:p>
        </w:tc>
      </w:tr>
    </w:tbl>
    <w:p w:rsidR="00000000" w:rsidRDefault="00031F6C">
      <w:pPr>
        <w:jc w:val="both"/>
        <w:rPr>
          <w:color w:val="000000"/>
          <w:sz w:val="28"/>
          <w:szCs w:val="28"/>
        </w:rPr>
      </w:pPr>
    </w:p>
    <w:sectPr w:rsidR="00000000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031F6C"/>
    <w:rsid w:val="0003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37E044-F9D4-4133-AAFF-1B8301147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semiHidden/>
    <w:qFormat/>
    <w:pPr>
      <w:spacing w:before="100" w:beforeAutospacing="1" w:after="100" w:afterAutospacing="1"/>
    </w:pPr>
  </w:style>
  <w:style w:type="paragraph" w:customStyle="1" w:styleId="msonormal1">
    <w:name w:val="msonormal1"/>
    <w:basedOn w:val="a"/>
    <w:uiPriority w:val="99"/>
    <w:semiHidden/>
  </w:style>
  <w:style w:type="paragraph" w:customStyle="1" w:styleId="style6">
    <w:name w:val="style6"/>
    <w:basedOn w:val="a"/>
    <w:uiPriority w:val="99"/>
    <w:semiHidden/>
    <w:pPr>
      <w:spacing w:before="100" w:beforeAutospacing="1" w:after="100" w:afterAutospacing="1"/>
    </w:pPr>
  </w:style>
  <w:style w:type="paragraph" w:customStyle="1" w:styleId="style7">
    <w:name w:val="style7"/>
    <w:basedOn w:val="a"/>
    <w:uiPriority w:val="99"/>
    <w:semiHidden/>
    <w:pPr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style8">
    <w:name w:val="style8"/>
    <w:basedOn w:val="a"/>
    <w:uiPriority w:val="99"/>
    <w:semiHidden/>
    <w:pPr>
      <w:spacing w:before="100" w:beforeAutospacing="1" w:after="100" w:afterAutospacing="1"/>
      <w:jc w:val="center"/>
    </w:pPr>
    <w:rPr>
      <w:b/>
      <w:bCs/>
    </w:rPr>
  </w:style>
  <w:style w:type="paragraph" w:customStyle="1" w:styleId="style9">
    <w:name w:val="style9"/>
    <w:basedOn w:val="a"/>
    <w:uiPriority w:val="99"/>
    <w:semiHidden/>
    <w:pPr>
      <w:spacing w:before="100" w:beforeAutospacing="1" w:after="100" w:afterAutospacing="1"/>
    </w:pPr>
    <w:rPr>
      <w:sz w:val="20"/>
      <w:szCs w:val="20"/>
    </w:rPr>
  </w:style>
  <w:style w:type="paragraph" w:customStyle="1" w:styleId="style10">
    <w:name w:val="style10"/>
    <w:basedOn w:val="a"/>
    <w:uiPriority w:val="99"/>
    <w:semiHidden/>
    <w:pPr>
      <w:spacing w:before="100" w:beforeAutospacing="1" w:after="100" w:afterAutospacing="1"/>
    </w:pPr>
  </w:style>
  <w:style w:type="paragraph" w:customStyle="1" w:styleId="style11">
    <w:name w:val="style11"/>
    <w:basedOn w:val="a"/>
    <w:uiPriority w:val="99"/>
    <w:semiHidden/>
    <w:pPr>
      <w:spacing w:before="100" w:beforeAutospacing="1" w:after="100" w:afterAutospacing="1"/>
    </w:pPr>
  </w:style>
  <w:style w:type="paragraph" w:customStyle="1" w:styleId="style12">
    <w:name w:val="style12"/>
    <w:basedOn w:val="a"/>
    <w:uiPriority w:val="99"/>
    <w:semiHidden/>
    <w:pPr>
      <w:spacing w:before="100" w:beforeAutospacing="1" w:after="100" w:afterAutospacing="1"/>
    </w:pPr>
  </w:style>
  <w:style w:type="paragraph" w:customStyle="1" w:styleId="style14">
    <w:name w:val="style14"/>
    <w:basedOn w:val="a"/>
    <w:uiPriority w:val="99"/>
    <w:semiHidden/>
    <w:pPr>
      <w:spacing w:before="100" w:beforeAutospacing="1" w:after="100" w:afterAutospacing="1"/>
    </w:pPr>
    <w:rPr>
      <w:sz w:val="20"/>
      <w:szCs w:val="20"/>
    </w:rPr>
  </w:style>
  <w:style w:type="paragraph" w:customStyle="1" w:styleId="style16">
    <w:name w:val="style16"/>
    <w:basedOn w:val="a"/>
    <w:uiPriority w:val="99"/>
    <w:semiHidden/>
    <w:pPr>
      <w:spacing w:before="100" w:beforeAutospacing="1" w:after="100" w:afterAutospacing="1"/>
    </w:pPr>
    <w:rPr>
      <w:sz w:val="20"/>
      <w:szCs w:val="20"/>
    </w:rPr>
  </w:style>
  <w:style w:type="paragraph" w:customStyle="1" w:styleId="style17">
    <w:name w:val="style17"/>
    <w:basedOn w:val="a"/>
    <w:uiPriority w:val="99"/>
    <w:semiHidden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style18">
    <w:name w:val="style18"/>
    <w:basedOn w:val="a"/>
    <w:uiPriority w:val="99"/>
    <w:semiHidden/>
    <w:pPr>
      <w:spacing w:before="100" w:beforeAutospacing="1" w:after="100" w:afterAutospacing="1"/>
    </w:pPr>
    <w:rPr>
      <w:sz w:val="20"/>
      <w:szCs w:val="20"/>
    </w:rPr>
  </w:style>
  <w:style w:type="paragraph" w:customStyle="1" w:styleId="style19">
    <w:name w:val="style19"/>
    <w:basedOn w:val="a"/>
    <w:uiPriority w:val="99"/>
    <w:semiHidden/>
    <w:pPr>
      <w:spacing w:before="100" w:beforeAutospacing="1" w:after="100" w:afterAutospacing="1"/>
    </w:pPr>
    <w:rPr>
      <w:sz w:val="20"/>
      <w:szCs w:val="20"/>
    </w:rPr>
  </w:style>
  <w:style w:type="paragraph" w:customStyle="1" w:styleId="style21">
    <w:name w:val="style21"/>
    <w:basedOn w:val="a"/>
    <w:uiPriority w:val="99"/>
    <w:semiHidden/>
    <w:pPr>
      <w:spacing w:before="100" w:beforeAutospacing="1" w:after="100" w:afterAutospacing="1"/>
      <w:jc w:val="right"/>
    </w:pPr>
  </w:style>
  <w:style w:type="paragraph" w:customStyle="1" w:styleId="style23">
    <w:name w:val="style23"/>
    <w:basedOn w:val="a"/>
    <w:uiPriority w:val="99"/>
    <w:semiHidden/>
    <w:pPr>
      <w:spacing w:before="100" w:beforeAutospacing="1" w:after="100" w:afterAutospacing="1"/>
    </w:pPr>
  </w:style>
  <w:style w:type="paragraph" w:customStyle="1" w:styleId="style24">
    <w:name w:val="style24"/>
    <w:basedOn w:val="a"/>
    <w:uiPriority w:val="99"/>
    <w:semiHidden/>
    <w:pPr>
      <w:spacing w:before="100" w:beforeAutospacing="1" w:after="100" w:afterAutospacing="1"/>
    </w:pPr>
  </w:style>
  <w:style w:type="paragraph" w:customStyle="1" w:styleId="style27">
    <w:name w:val="style27"/>
    <w:basedOn w:val="a"/>
    <w:uiPriority w:val="99"/>
    <w:semiHidden/>
    <w:pPr>
      <w:spacing w:before="100" w:beforeAutospacing="1" w:after="100" w:afterAutospacing="1"/>
    </w:pPr>
  </w:style>
  <w:style w:type="paragraph" w:customStyle="1" w:styleId="style30">
    <w:name w:val="style30"/>
    <w:basedOn w:val="a"/>
    <w:uiPriority w:val="99"/>
    <w:semiHidden/>
    <w:pPr>
      <w:spacing w:before="100" w:beforeAutospacing="1" w:after="100" w:afterAutospacing="1"/>
    </w:pPr>
  </w:style>
  <w:style w:type="paragraph" w:customStyle="1" w:styleId="style31">
    <w:name w:val="style31"/>
    <w:basedOn w:val="a"/>
    <w:uiPriority w:val="99"/>
    <w:semiHidden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style38">
    <w:name w:val="style38"/>
    <w:basedOn w:val="a"/>
    <w:uiPriority w:val="99"/>
    <w:semiHidden/>
    <w:pPr>
      <w:spacing w:before="100" w:beforeAutospacing="1" w:after="100" w:afterAutospacing="1"/>
      <w:jc w:val="center"/>
    </w:pPr>
  </w:style>
  <w:style w:type="paragraph" w:customStyle="1" w:styleId="style42">
    <w:name w:val="style42"/>
    <w:basedOn w:val="a"/>
    <w:uiPriority w:val="99"/>
    <w:semiHidden/>
    <w:pPr>
      <w:spacing w:before="100" w:beforeAutospacing="1" w:after="100" w:afterAutospacing="1"/>
      <w:jc w:val="center"/>
    </w:pPr>
    <w:rPr>
      <w:u w:val="single"/>
    </w:rPr>
  </w:style>
  <w:style w:type="paragraph" w:customStyle="1" w:styleId="style44">
    <w:name w:val="style44"/>
    <w:basedOn w:val="a"/>
    <w:uiPriority w:val="99"/>
    <w:semiHidden/>
    <w:pPr>
      <w:spacing w:before="100" w:beforeAutospacing="1" w:after="100" w:afterAutospacing="1"/>
      <w:jc w:val="center"/>
    </w:pPr>
  </w:style>
  <w:style w:type="paragraph" w:customStyle="1" w:styleId="style46">
    <w:name w:val="style46"/>
    <w:basedOn w:val="a"/>
    <w:uiPriority w:val="99"/>
    <w:semiHidden/>
    <w:pPr>
      <w:spacing w:before="100" w:beforeAutospacing="1" w:after="100" w:afterAutospacing="1"/>
      <w:jc w:val="right"/>
    </w:pPr>
  </w:style>
  <w:style w:type="paragraph" w:customStyle="1" w:styleId="style48">
    <w:name w:val="style48"/>
    <w:basedOn w:val="a"/>
    <w:uiPriority w:val="99"/>
    <w:semiHidden/>
    <w:pPr>
      <w:spacing w:before="100" w:beforeAutospacing="1" w:after="100" w:afterAutospacing="1"/>
    </w:pPr>
  </w:style>
  <w:style w:type="paragraph" w:customStyle="1" w:styleId="style49">
    <w:name w:val="style49"/>
    <w:basedOn w:val="a"/>
    <w:uiPriority w:val="99"/>
    <w:semiHidden/>
    <w:pPr>
      <w:spacing w:before="100" w:beforeAutospacing="1" w:after="100" w:afterAutospacing="1"/>
    </w:pPr>
  </w:style>
  <w:style w:type="paragraph" w:customStyle="1" w:styleId="style50">
    <w:name w:val="style50"/>
    <w:basedOn w:val="a"/>
    <w:uiPriority w:val="99"/>
    <w:semiHidden/>
    <w:pPr>
      <w:spacing w:before="100" w:beforeAutospacing="1" w:after="100" w:afterAutospacing="1"/>
    </w:pPr>
  </w:style>
  <w:style w:type="paragraph" w:customStyle="1" w:styleId="style52">
    <w:name w:val="style52"/>
    <w:basedOn w:val="a"/>
    <w:uiPriority w:val="99"/>
    <w:semiHidden/>
    <w:pPr>
      <w:spacing w:before="100" w:beforeAutospacing="1" w:after="100" w:afterAutospacing="1"/>
    </w:pPr>
    <w:rPr>
      <w:sz w:val="20"/>
      <w:szCs w:val="20"/>
    </w:rPr>
  </w:style>
  <w:style w:type="paragraph" w:customStyle="1" w:styleId="style54">
    <w:name w:val="style54"/>
    <w:basedOn w:val="a"/>
    <w:uiPriority w:val="99"/>
    <w:semiHidden/>
    <w:pPr>
      <w:spacing w:before="100" w:beforeAutospacing="1" w:after="100" w:afterAutospacing="1"/>
    </w:pPr>
    <w:rPr>
      <w:sz w:val="20"/>
      <w:szCs w:val="20"/>
    </w:rPr>
  </w:style>
  <w:style w:type="paragraph" w:customStyle="1" w:styleId="style55">
    <w:name w:val="style55"/>
    <w:basedOn w:val="a"/>
    <w:uiPriority w:val="99"/>
    <w:semiHidden/>
    <w:pPr>
      <w:spacing w:before="100" w:beforeAutospacing="1" w:after="100" w:afterAutospacing="1"/>
    </w:pPr>
  </w:style>
  <w:style w:type="paragraph" w:customStyle="1" w:styleId="style56">
    <w:name w:val="style56"/>
    <w:basedOn w:val="a"/>
    <w:uiPriority w:val="99"/>
    <w:semiHidden/>
    <w:pPr>
      <w:spacing w:before="100" w:beforeAutospacing="1" w:after="100" w:afterAutospacing="1"/>
    </w:pPr>
    <w:rPr>
      <w:sz w:val="20"/>
      <w:szCs w:val="20"/>
    </w:rPr>
  </w:style>
  <w:style w:type="paragraph" w:customStyle="1" w:styleId="style58">
    <w:name w:val="style58"/>
    <w:basedOn w:val="a"/>
    <w:uiPriority w:val="99"/>
    <w:semiHidden/>
    <w:pPr>
      <w:spacing w:before="100" w:beforeAutospacing="1" w:after="100" w:afterAutospacing="1"/>
    </w:pPr>
  </w:style>
  <w:style w:type="paragraph" w:customStyle="1" w:styleId="style59">
    <w:name w:val="style59"/>
    <w:basedOn w:val="a"/>
    <w:uiPriority w:val="99"/>
    <w:semiHidden/>
    <w:pPr>
      <w:spacing w:before="100" w:beforeAutospacing="1" w:after="100" w:afterAutospacing="1"/>
      <w:jc w:val="both"/>
    </w:pPr>
  </w:style>
  <w:style w:type="paragraph" w:customStyle="1" w:styleId="style60">
    <w:name w:val="style60"/>
    <w:basedOn w:val="a"/>
    <w:uiPriority w:val="99"/>
    <w:semiHidden/>
    <w:pPr>
      <w:spacing w:before="100" w:beforeAutospacing="1" w:after="100" w:afterAutospacing="1"/>
    </w:pPr>
  </w:style>
  <w:style w:type="paragraph" w:customStyle="1" w:styleId="style61">
    <w:name w:val="style61"/>
    <w:basedOn w:val="a"/>
    <w:uiPriority w:val="99"/>
    <w:semiHidden/>
    <w:pPr>
      <w:spacing w:before="100" w:beforeAutospacing="1" w:after="100" w:afterAutospacing="1"/>
      <w:jc w:val="center"/>
    </w:pPr>
  </w:style>
  <w:style w:type="paragraph" w:customStyle="1" w:styleId="style62">
    <w:name w:val="style62"/>
    <w:basedOn w:val="a"/>
    <w:uiPriority w:val="99"/>
    <w:semiHidden/>
    <w:pPr>
      <w:spacing w:before="100" w:beforeAutospacing="1" w:after="100" w:afterAutospacing="1"/>
      <w:jc w:val="center"/>
    </w:pPr>
    <w:rPr>
      <w:u w:val="single"/>
    </w:rPr>
  </w:style>
  <w:style w:type="paragraph" w:customStyle="1" w:styleId="style63">
    <w:name w:val="style63"/>
    <w:basedOn w:val="a"/>
    <w:uiPriority w:val="99"/>
    <w:semiHidden/>
    <w:pPr>
      <w:spacing w:before="100" w:beforeAutospacing="1" w:after="100" w:afterAutospacing="1"/>
    </w:pPr>
    <w:rPr>
      <w:sz w:val="20"/>
      <w:szCs w:val="20"/>
    </w:rPr>
  </w:style>
  <w:style w:type="paragraph" w:customStyle="1" w:styleId="style64">
    <w:name w:val="style64"/>
    <w:basedOn w:val="a"/>
    <w:uiPriority w:val="99"/>
    <w:semiHidden/>
    <w:pPr>
      <w:spacing w:before="100" w:beforeAutospacing="1" w:after="100" w:afterAutospacing="1"/>
    </w:pPr>
    <w:rPr>
      <w:sz w:val="20"/>
      <w:szCs w:val="20"/>
    </w:rPr>
  </w:style>
  <w:style w:type="paragraph" w:customStyle="1" w:styleId="cs12a5cebc">
    <w:name w:val="cs12a5cebc"/>
    <w:basedOn w:val="a"/>
    <w:uiPriority w:val="99"/>
    <w:semiHidden/>
    <w:pPr>
      <w:spacing w:before="100" w:beforeAutospacing="1" w:after="100" w:afterAutospacing="1"/>
    </w:pPr>
  </w:style>
  <w:style w:type="character" w:customStyle="1" w:styleId="style521">
    <w:name w:val="style521"/>
    <w:basedOn w:val="a0"/>
    <w:rPr>
      <w:rFonts w:ascii="Times New Roman" w:hAnsi="Times New Roman" w:cs="Times New Roman" w:hint="default"/>
      <w:sz w:val="20"/>
      <w:szCs w:val="20"/>
    </w:rPr>
  </w:style>
  <w:style w:type="character" w:customStyle="1" w:styleId="style561">
    <w:name w:val="style561"/>
    <w:basedOn w:val="a0"/>
    <w:rPr>
      <w:sz w:val="20"/>
      <w:szCs w:val="20"/>
    </w:rPr>
  </w:style>
  <w:style w:type="character" w:customStyle="1" w:styleId="style551">
    <w:name w:val="style551"/>
    <w:basedOn w:val="a0"/>
    <w:rPr>
      <w:rFonts w:ascii="Times New Roman" w:hAnsi="Times New Roman" w:cs="Times New Roman" w:hint="default"/>
    </w:rPr>
  </w:style>
  <w:style w:type="character" w:customStyle="1" w:styleId="style631">
    <w:name w:val="style631"/>
    <w:basedOn w:val="a0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3548</Words>
  <Characters>23198</Characters>
  <Application>Microsoft Office Word</Application>
  <DocSecurity>0</DocSecurity>
  <Lines>193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 Иван Юрьевич</dc:creator>
  <cp:keywords/>
  <dc:description/>
  <cp:lastModifiedBy>Игорь Еловский</cp:lastModifiedBy>
  <cp:revision>2</cp:revision>
  <cp:lastPrinted>2025-05-14T12:04:00Z</cp:lastPrinted>
  <dcterms:created xsi:type="dcterms:W3CDTF">2025-05-28T13:44:00Z</dcterms:created>
  <dcterms:modified xsi:type="dcterms:W3CDTF">2025-05-28T13:44:00Z</dcterms:modified>
</cp:coreProperties>
</file>